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86" w:rsidRPr="009312B5" w:rsidRDefault="00DC5C86" w:rsidP="00DC5C86">
      <w:pPr>
        <w:jc w:val="right"/>
        <w:rPr>
          <w:rFonts w:ascii="Arial" w:hAnsi="Arial" w:cs="Arial"/>
          <w:b/>
        </w:rPr>
      </w:pPr>
      <w:bookmarkStart w:id="0" w:name="_Toc524939881"/>
      <w:bookmarkStart w:id="1" w:name="_Toc524939890"/>
      <w:bookmarkStart w:id="2" w:name="_GoBack"/>
      <w:bookmarkEnd w:id="2"/>
      <w:r w:rsidRPr="009312B5">
        <w:rPr>
          <w:rFonts w:ascii="Arial" w:hAnsi="Arial" w:cs="Arial"/>
          <w:b/>
        </w:rPr>
        <w:t>III.</w:t>
      </w: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jc w:val="center"/>
        <w:rPr>
          <w:rFonts w:ascii="Arial" w:hAnsi="Arial" w:cs="Arial"/>
          <w:b/>
        </w:rPr>
      </w:pPr>
      <w:r w:rsidRPr="009312B5">
        <w:rPr>
          <w:rFonts w:ascii="Arial" w:hAnsi="Arial" w:cs="Arial"/>
          <w:b/>
        </w:rPr>
        <w:t>Plán činnosti Správy úložišť radioaktivních odpadů</w:t>
      </w:r>
    </w:p>
    <w:p w:rsidR="00DC5C86" w:rsidRPr="009312B5" w:rsidRDefault="00DC5C86" w:rsidP="00DC5C86">
      <w:pPr>
        <w:jc w:val="center"/>
        <w:rPr>
          <w:rFonts w:ascii="Arial" w:hAnsi="Arial" w:cs="Arial"/>
          <w:b/>
        </w:rPr>
      </w:pPr>
    </w:p>
    <w:p w:rsidR="00DC5C86" w:rsidRPr="009312B5" w:rsidRDefault="00DC5C86" w:rsidP="00DC5C86">
      <w:pPr>
        <w:jc w:val="center"/>
        <w:rPr>
          <w:rFonts w:ascii="Arial" w:hAnsi="Arial" w:cs="Arial"/>
          <w:b/>
        </w:rPr>
      </w:pPr>
      <w:r w:rsidRPr="009312B5">
        <w:rPr>
          <w:rFonts w:ascii="Arial" w:hAnsi="Arial" w:cs="Arial"/>
          <w:b/>
        </w:rPr>
        <w:t>na rok 201</w:t>
      </w:r>
      <w:r>
        <w:rPr>
          <w:rFonts w:ascii="Arial" w:hAnsi="Arial" w:cs="Arial"/>
          <w:b/>
        </w:rPr>
        <w:t>7</w:t>
      </w:r>
      <w:r w:rsidRPr="009312B5">
        <w:rPr>
          <w:rFonts w:ascii="Arial" w:hAnsi="Arial" w:cs="Arial"/>
          <w:b/>
        </w:rPr>
        <w:t>, tříletý plán a dlouhodobý plán</w:t>
      </w:r>
    </w:p>
    <w:p w:rsidR="00DC5C86" w:rsidRPr="009312B5" w:rsidRDefault="00DC5C86" w:rsidP="00DC5C86">
      <w:pPr>
        <w:jc w:val="cente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Pr="009312B5" w:rsidRDefault="00DC5C86" w:rsidP="00DC5C86">
      <w:pPr>
        <w:rPr>
          <w:rFonts w:ascii="Arial" w:hAnsi="Arial" w:cs="Arial"/>
          <w:b/>
        </w:rPr>
      </w:pPr>
    </w:p>
    <w:p w:rsidR="00DC5C86" w:rsidRDefault="003C4D8C" w:rsidP="00DC5C86">
      <w:pPr>
        <w:jc w:val="center"/>
        <w:rPr>
          <w:rFonts w:ascii="Arial" w:hAnsi="Arial" w:cs="Arial"/>
          <w:b/>
        </w:rPr>
      </w:pPr>
      <w:r>
        <w:rPr>
          <w:rFonts w:ascii="Arial" w:hAnsi="Arial" w:cs="Arial"/>
          <w:b/>
        </w:rPr>
        <w:t>prosinec</w:t>
      </w:r>
      <w:r w:rsidR="00DC5C86" w:rsidRPr="009312B5">
        <w:rPr>
          <w:rFonts w:ascii="Arial" w:hAnsi="Arial" w:cs="Arial"/>
          <w:b/>
        </w:rPr>
        <w:t xml:space="preserve"> 201</w:t>
      </w:r>
      <w:r w:rsidR="00DC5C86">
        <w:rPr>
          <w:rFonts w:ascii="Arial" w:hAnsi="Arial" w:cs="Arial"/>
          <w:b/>
        </w:rPr>
        <w:t>6</w:t>
      </w:r>
    </w:p>
    <w:p w:rsidR="00DC5C86" w:rsidRDefault="00DC5C86" w:rsidP="00A35DC9">
      <w:pPr>
        <w:rPr>
          <w:rFonts w:ascii="Arial" w:hAnsi="Arial" w:cs="Arial"/>
          <w:b/>
        </w:rPr>
      </w:pPr>
    </w:p>
    <w:p w:rsidR="00DC5C86" w:rsidRDefault="00DC5C86" w:rsidP="00A35DC9">
      <w:pPr>
        <w:rPr>
          <w:rFonts w:ascii="Arial" w:hAnsi="Arial" w:cs="Arial"/>
          <w:b/>
        </w:rPr>
      </w:pPr>
    </w:p>
    <w:p w:rsidR="004C7179" w:rsidRDefault="004C7179" w:rsidP="00A35DC9">
      <w:pPr>
        <w:rPr>
          <w:rFonts w:ascii="Arial" w:hAnsi="Arial" w:cs="Arial"/>
          <w:b/>
        </w:rPr>
      </w:pPr>
      <w:r>
        <w:rPr>
          <w:rFonts w:ascii="Arial" w:hAnsi="Arial" w:cs="Arial"/>
          <w:b/>
        </w:rPr>
        <w:br w:type="page"/>
      </w:r>
    </w:p>
    <w:p w:rsidR="00A35DC9" w:rsidRDefault="00A35DC9" w:rsidP="00A35DC9">
      <w:pPr>
        <w:rPr>
          <w:rFonts w:ascii="Arial" w:hAnsi="Arial" w:cs="Arial"/>
          <w:b/>
        </w:rPr>
      </w:pPr>
      <w:r w:rsidRPr="002E33C8">
        <w:rPr>
          <w:rFonts w:ascii="Arial" w:hAnsi="Arial" w:cs="Arial"/>
          <w:b/>
        </w:rPr>
        <w:lastRenderedPageBreak/>
        <w:t>Obsah:</w:t>
      </w:r>
    </w:p>
    <w:p w:rsidR="00DA0B00" w:rsidRDefault="00DA0B00" w:rsidP="00A35DC9">
      <w:pPr>
        <w:rPr>
          <w:rFonts w:ascii="Arial" w:hAnsi="Arial" w:cs="Arial"/>
          <w:b/>
        </w:rPr>
      </w:pPr>
    </w:p>
    <w:p w:rsidR="00DA0B00" w:rsidRPr="002E33C8" w:rsidRDefault="00DA0B00" w:rsidP="00DA0B00">
      <w:pPr>
        <w:pStyle w:val="Normln0"/>
        <w:jc w:val="both"/>
        <w:rPr>
          <w:rFonts w:ascii="Arial" w:hAnsi="Arial" w:cs="Arial"/>
          <w:sz w:val="24"/>
          <w:szCs w:val="24"/>
        </w:rPr>
      </w:pPr>
    </w:p>
    <w:p w:rsidR="00900930" w:rsidRPr="00DB31C1" w:rsidRDefault="00DA0B00">
      <w:pPr>
        <w:pStyle w:val="Obsah1"/>
        <w:tabs>
          <w:tab w:val="left" w:pos="600"/>
          <w:tab w:val="right" w:leader="dot" w:pos="9062"/>
        </w:tabs>
        <w:rPr>
          <w:rFonts w:ascii="Arial" w:hAnsi="Arial" w:cs="Arial"/>
          <w:b w:val="0"/>
          <w:bCs w:val="0"/>
          <w:caps w:val="0"/>
          <w:noProof/>
          <w:sz w:val="22"/>
          <w:szCs w:val="22"/>
        </w:rPr>
      </w:pPr>
      <w:r w:rsidRPr="00DB31C1">
        <w:rPr>
          <w:rFonts w:ascii="Arial" w:hAnsi="Arial" w:cs="Arial"/>
        </w:rPr>
        <w:fldChar w:fldCharType="begin"/>
      </w:r>
      <w:r w:rsidRPr="00DB31C1">
        <w:rPr>
          <w:rFonts w:ascii="Arial" w:hAnsi="Arial" w:cs="Arial"/>
        </w:rPr>
        <w:instrText xml:space="preserve"> TOC \o "1-3" \h \z \u </w:instrText>
      </w:r>
      <w:r w:rsidRPr="00DB31C1">
        <w:rPr>
          <w:rFonts w:ascii="Arial" w:hAnsi="Arial" w:cs="Arial"/>
        </w:rPr>
        <w:fldChar w:fldCharType="separate"/>
      </w:r>
      <w:hyperlink w:anchor="_Toc453575851" w:history="1">
        <w:r w:rsidR="00900930" w:rsidRPr="00DB31C1">
          <w:rPr>
            <w:rStyle w:val="Hypertextovodkaz"/>
            <w:rFonts w:ascii="Arial" w:hAnsi="Arial" w:cs="Arial"/>
            <w:noProof/>
          </w:rPr>
          <w:t>1.</w:t>
        </w:r>
        <w:r w:rsidR="00900930" w:rsidRPr="00DB31C1">
          <w:rPr>
            <w:rFonts w:ascii="Arial" w:hAnsi="Arial" w:cs="Arial"/>
            <w:b w:val="0"/>
            <w:bCs w:val="0"/>
            <w:caps w:val="0"/>
            <w:noProof/>
            <w:sz w:val="22"/>
            <w:szCs w:val="22"/>
          </w:rPr>
          <w:tab/>
        </w:r>
        <w:r w:rsidR="00900930" w:rsidRPr="00DB31C1">
          <w:rPr>
            <w:rStyle w:val="Hypertextovodkaz"/>
            <w:rFonts w:ascii="Arial" w:hAnsi="Arial" w:cs="Arial"/>
            <w:noProof/>
          </w:rPr>
          <w:t>Úvod</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_Toc453575851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3</w:t>
        </w:r>
        <w:r w:rsidR="00900930" w:rsidRPr="00DB31C1">
          <w:rPr>
            <w:rFonts w:ascii="Arial" w:hAnsi="Arial" w:cs="Arial"/>
            <w:noProof/>
            <w:webHidden/>
          </w:rPr>
          <w:fldChar w:fldCharType="end"/>
        </w:r>
      </w:hyperlink>
    </w:p>
    <w:p w:rsidR="00900930" w:rsidRPr="00DB31C1" w:rsidRDefault="000D4117">
      <w:pPr>
        <w:pStyle w:val="Obsah2"/>
        <w:rPr>
          <w:rFonts w:ascii="Arial" w:hAnsi="Arial" w:cs="Arial"/>
          <w:b w:val="0"/>
          <w:bCs w:val="0"/>
          <w:sz w:val="22"/>
          <w:szCs w:val="22"/>
        </w:rPr>
      </w:pPr>
      <w:hyperlink w:anchor="_Toc453575852" w:history="1">
        <w:r w:rsidR="00900930" w:rsidRPr="00DB31C1">
          <w:rPr>
            <w:rStyle w:val="Hypertextovodkaz"/>
            <w:rFonts w:ascii="Arial" w:hAnsi="Arial" w:cs="Arial"/>
          </w:rPr>
          <w:t>1.1.</w:t>
        </w:r>
        <w:r w:rsidR="00900930" w:rsidRPr="00DB31C1">
          <w:rPr>
            <w:rFonts w:ascii="Arial" w:hAnsi="Arial" w:cs="Arial"/>
            <w:b w:val="0"/>
            <w:bCs w:val="0"/>
            <w:sz w:val="22"/>
            <w:szCs w:val="22"/>
          </w:rPr>
          <w:tab/>
        </w:r>
        <w:r w:rsidR="00900930" w:rsidRPr="00DB31C1">
          <w:rPr>
            <w:rStyle w:val="Hypertextovodkaz"/>
            <w:rFonts w:ascii="Arial" w:hAnsi="Arial" w:cs="Arial"/>
          </w:rPr>
          <w:t>Poslání a zásady činnosti Správy úložišť radioaktivních odpadů</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_Toc453575852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3</w:t>
        </w:r>
        <w:r w:rsidR="00900930" w:rsidRPr="00DB31C1">
          <w:rPr>
            <w:rFonts w:ascii="Arial" w:hAnsi="Arial" w:cs="Arial"/>
            <w:webHidden/>
          </w:rPr>
          <w:fldChar w:fldCharType="end"/>
        </w:r>
      </w:hyperlink>
    </w:p>
    <w:p w:rsidR="00900930" w:rsidRPr="00DB31C1" w:rsidRDefault="000D4117">
      <w:pPr>
        <w:pStyle w:val="Obsah2"/>
        <w:rPr>
          <w:rFonts w:ascii="Arial" w:hAnsi="Arial" w:cs="Arial"/>
          <w:b w:val="0"/>
          <w:bCs w:val="0"/>
          <w:sz w:val="22"/>
          <w:szCs w:val="22"/>
        </w:rPr>
      </w:pPr>
      <w:hyperlink w:anchor="_Toc453575853" w:history="1">
        <w:r w:rsidR="00900930" w:rsidRPr="00DB31C1">
          <w:rPr>
            <w:rStyle w:val="Hypertextovodkaz"/>
            <w:rFonts w:ascii="Arial" w:hAnsi="Arial" w:cs="Arial"/>
          </w:rPr>
          <w:t>1.2.</w:t>
        </w:r>
        <w:r w:rsidR="00900930" w:rsidRPr="00DB31C1">
          <w:rPr>
            <w:rFonts w:ascii="Arial" w:hAnsi="Arial" w:cs="Arial"/>
            <w:b w:val="0"/>
            <w:bCs w:val="0"/>
            <w:sz w:val="22"/>
            <w:szCs w:val="22"/>
          </w:rPr>
          <w:tab/>
        </w:r>
        <w:r w:rsidR="00900930" w:rsidRPr="00DB31C1">
          <w:rPr>
            <w:rStyle w:val="Hypertextovodkaz"/>
            <w:rFonts w:ascii="Arial" w:hAnsi="Arial" w:cs="Arial"/>
          </w:rPr>
          <w:t>Současná situace v oblasti ukládání radioaktivních odpadů (RAO)</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_Toc453575853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3</w:t>
        </w:r>
        <w:r w:rsidR="00900930" w:rsidRPr="00DB31C1">
          <w:rPr>
            <w:rFonts w:ascii="Arial" w:hAnsi="Arial" w:cs="Arial"/>
            <w:webHidden/>
          </w:rPr>
          <w:fldChar w:fldCharType="end"/>
        </w:r>
      </w:hyperlink>
    </w:p>
    <w:p w:rsidR="00900930" w:rsidRPr="00DB31C1" w:rsidRDefault="000D4117">
      <w:pPr>
        <w:pStyle w:val="Obsah1"/>
        <w:tabs>
          <w:tab w:val="left" w:pos="600"/>
          <w:tab w:val="right" w:leader="dot" w:pos="9062"/>
        </w:tabs>
        <w:rPr>
          <w:rFonts w:ascii="Arial" w:hAnsi="Arial" w:cs="Arial"/>
          <w:b w:val="0"/>
          <w:bCs w:val="0"/>
          <w:caps w:val="0"/>
          <w:noProof/>
          <w:sz w:val="22"/>
          <w:szCs w:val="22"/>
        </w:rPr>
      </w:pPr>
      <w:hyperlink w:anchor="_Toc453575854" w:history="1">
        <w:r w:rsidR="00900930" w:rsidRPr="00DB31C1">
          <w:rPr>
            <w:rStyle w:val="Hypertextovodkaz"/>
            <w:rFonts w:ascii="Arial" w:hAnsi="Arial" w:cs="Arial"/>
            <w:noProof/>
          </w:rPr>
          <w:t>2.</w:t>
        </w:r>
        <w:r w:rsidR="00900930" w:rsidRPr="00DB31C1">
          <w:rPr>
            <w:rFonts w:ascii="Arial" w:hAnsi="Arial" w:cs="Arial"/>
            <w:b w:val="0"/>
            <w:bCs w:val="0"/>
            <w:caps w:val="0"/>
            <w:noProof/>
            <w:sz w:val="22"/>
            <w:szCs w:val="22"/>
          </w:rPr>
          <w:tab/>
        </w:r>
        <w:r w:rsidR="00900930" w:rsidRPr="00DB31C1">
          <w:rPr>
            <w:rStyle w:val="Hypertextovodkaz"/>
            <w:rFonts w:ascii="Arial" w:hAnsi="Arial" w:cs="Arial"/>
            <w:noProof/>
          </w:rPr>
          <w:t>Ukládání NSRAO</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_Toc453575854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5</w:t>
        </w:r>
        <w:r w:rsidR="00900930" w:rsidRPr="00DB31C1">
          <w:rPr>
            <w:rFonts w:ascii="Arial" w:hAnsi="Arial" w:cs="Arial"/>
            <w:noProof/>
            <w:webHidden/>
          </w:rPr>
          <w:fldChar w:fldCharType="end"/>
        </w:r>
      </w:hyperlink>
    </w:p>
    <w:p w:rsidR="00900930" w:rsidRPr="00DB31C1" w:rsidRDefault="000D4117">
      <w:pPr>
        <w:pStyle w:val="Obsah2"/>
        <w:rPr>
          <w:rFonts w:ascii="Arial" w:hAnsi="Arial" w:cs="Arial"/>
          <w:b w:val="0"/>
          <w:bCs w:val="0"/>
          <w:sz w:val="22"/>
          <w:szCs w:val="22"/>
        </w:rPr>
      </w:pPr>
      <w:hyperlink w:anchor="_Toc453575855" w:history="1">
        <w:r w:rsidR="00900930" w:rsidRPr="00DB31C1">
          <w:rPr>
            <w:rStyle w:val="Hypertextovodkaz"/>
            <w:rFonts w:ascii="Arial" w:hAnsi="Arial" w:cs="Arial"/>
          </w:rPr>
          <w:t>2.1.</w:t>
        </w:r>
        <w:r w:rsidR="00900930" w:rsidRPr="00DB31C1">
          <w:rPr>
            <w:rFonts w:ascii="Arial" w:hAnsi="Arial" w:cs="Arial"/>
            <w:b w:val="0"/>
            <w:bCs w:val="0"/>
            <w:sz w:val="22"/>
            <w:szCs w:val="22"/>
          </w:rPr>
          <w:tab/>
        </w:r>
        <w:r w:rsidR="00900930" w:rsidRPr="00DB31C1">
          <w:rPr>
            <w:rStyle w:val="Hypertextovodkaz"/>
            <w:rFonts w:ascii="Arial" w:hAnsi="Arial" w:cs="Arial"/>
          </w:rPr>
          <w:t>Provoz úložiště radioaktivních odpadů Dukovany</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_Toc453575855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5</w:t>
        </w:r>
        <w:r w:rsidR="00900930" w:rsidRPr="00DB31C1">
          <w:rPr>
            <w:rFonts w:ascii="Arial" w:hAnsi="Arial" w:cs="Arial"/>
            <w:webHidden/>
          </w:rPr>
          <w:fldChar w:fldCharType="end"/>
        </w:r>
      </w:hyperlink>
    </w:p>
    <w:p w:rsidR="00900930" w:rsidRPr="00DB31C1" w:rsidRDefault="000D4117">
      <w:pPr>
        <w:pStyle w:val="Obsah2"/>
        <w:rPr>
          <w:rFonts w:ascii="Arial" w:hAnsi="Arial" w:cs="Arial"/>
          <w:b w:val="0"/>
          <w:bCs w:val="0"/>
          <w:sz w:val="22"/>
          <w:szCs w:val="22"/>
        </w:rPr>
      </w:pPr>
      <w:hyperlink w:anchor="_Toc453575856" w:history="1">
        <w:r w:rsidR="00900930" w:rsidRPr="00DB31C1">
          <w:rPr>
            <w:rStyle w:val="Hypertextovodkaz"/>
            <w:rFonts w:ascii="Arial" w:hAnsi="Arial" w:cs="Arial"/>
          </w:rPr>
          <w:t>2.2.</w:t>
        </w:r>
        <w:r w:rsidR="00900930" w:rsidRPr="00DB31C1">
          <w:rPr>
            <w:rFonts w:ascii="Arial" w:hAnsi="Arial" w:cs="Arial"/>
            <w:b w:val="0"/>
            <w:bCs w:val="0"/>
            <w:sz w:val="22"/>
            <w:szCs w:val="22"/>
          </w:rPr>
          <w:tab/>
        </w:r>
        <w:r w:rsidR="00900930" w:rsidRPr="00DB31C1">
          <w:rPr>
            <w:rStyle w:val="Hypertextovodkaz"/>
            <w:rFonts w:ascii="Arial" w:hAnsi="Arial" w:cs="Arial"/>
          </w:rPr>
          <w:t>Provoz úložišť radioaktivních odpadů Richard a Bratrství</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_Toc453575856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5</w:t>
        </w:r>
        <w:r w:rsidR="00900930" w:rsidRPr="00DB31C1">
          <w:rPr>
            <w:rFonts w:ascii="Arial" w:hAnsi="Arial" w:cs="Arial"/>
            <w:webHidden/>
          </w:rPr>
          <w:fldChar w:fldCharType="end"/>
        </w:r>
      </w:hyperlink>
    </w:p>
    <w:p w:rsidR="00900930" w:rsidRPr="00DB31C1" w:rsidRDefault="000D4117">
      <w:pPr>
        <w:pStyle w:val="Obsah2"/>
        <w:rPr>
          <w:rFonts w:ascii="Arial" w:hAnsi="Arial" w:cs="Arial"/>
          <w:b w:val="0"/>
          <w:bCs w:val="0"/>
          <w:sz w:val="22"/>
          <w:szCs w:val="22"/>
        </w:rPr>
      </w:pPr>
      <w:hyperlink w:anchor="_Toc453575857" w:history="1">
        <w:r w:rsidR="00900930" w:rsidRPr="00DB31C1">
          <w:rPr>
            <w:rStyle w:val="Hypertextovodkaz"/>
            <w:rFonts w:ascii="Arial" w:hAnsi="Arial" w:cs="Arial"/>
          </w:rPr>
          <w:t>2.3.</w:t>
        </w:r>
        <w:r w:rsidR="00900930" w:rsidRPr="00DB31C1">
          <w:rPr>
            <w:rFonts w:ascii="Arial" w:hAnsi="Arial" w:cs="Arial"/>
            <w:b w:val="0"/>
            <w:bCs w:val="0"/>
            <w:sz w:val="22"/>
            <w:szCs w:val="22"/>
          </w:rPr>
          <w:tab/>
        </w:r>
        <w:r w:rsidR="00900930" w:rsidRPr="00DB31C1">
          <w:rPr>
            <w:rStyle w:val="Hypertextovodkaz"/>
            <w:rFonts w:ascii="Arial" w:hAnsi="Arial" w:cs="Arial"/>
          </w:rPr>
          <w:t>Příspěvek obcím</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_Toc453575857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6</w:t>
        </w:r>
        <w:r w:rsidR="00900930" w:rsidRPr="00DB31C1">
          <w:rPr>
            <w:rFonts w:ascii="Arial" w:hAnsi="Arial" w:cs="Arial"/>
            <w:webHidden/>
          </w:rPr>
          <w:fldChar w:fldCharType="end"/>
        </w:r>
      </w:hyperlink>
    </w:p>
    <w:p w:rsidR="00900930" w:rsidRPr="00DB31C1" w:rsidRDefault="000D4117">
      <w:pPr>
        <w:pStyle w:val="Obsah1"/>
        <w:tabs>
          <w:tab w:val="left" w:pos="600"/>
          <w:tab w:val="right" w:leader="dot" w:pos="9062"/>
        </w:tabs>
        <w:rPr>
          <w:rFonts w:ascii="Arial" w:hAnsi="Arial" w:cs="Arial"/>
          <w:b w:val="0"/>
          <w:bCs w:val="0"/>
          <w:caps w:val="0"/>
          <w:noProof/>
          <w:sz w:val="22"/>
          <w:szCs w:val="22"/>
        </w:rPr>
      </w:pPr>
      <w:hyperlink w:anchor="_Toc453575858" w:history="1">
        <w:r w:rsidR="00900930" w:rsidRPr="00DB31C1">
          <w:rPr>
            <w:rStyle w:val="Hypertextovodkaz"/>
            <w:rFonts w:ascii="Arial" w:hAnsi="Arial" w:cs="Arial"/>
            <w:noProof/>
          </w:rPr>
          <w:t>3.</w:t>
        </w:r>
        <w:r w:rsidR="00900930" w:rsidRPr="00DB31C1">
          <w:rPr>
            <w:rFonts w:ascii="Arial" w:hAnsi="Arial" w:cs="Arial"/>
            <w:b w:val="0"/>
            <w:bCs w:val="0"/>
            <w:caps w:val="0"/>
            <w:noProof/>
            <w:sz w:val="22"/>
            <w:szCs w:val="22"/>
          </w:rPr>
          <w:tab/>
        </w:r>
        <w:r w:rsidR="00900930" w:rsidRPr="00DB31C1">
          <w:rPr>
            <w:rStyle w:val="Hypertextovodkaz"/>
            <w:rFonts w:ascii="Arial" w:hAnsi="Arial" w:cs="Arial"/>
            <w:noProof/>
          </w:rPr>
          <w:t>Příprava hlubinného úložiště VAO a VJP</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_Toc453575858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6</w:t>
        </w:r>
        <w:r w:rsidR="00900930" w:rsidRPr="00DB31C1">
          <w:rPr>
            <w:rFonts w:ascii="Arial" w:hAnsi="Arial" w:cs="Arial"/>
            <w:noProof/>
            <w:webHidden/>
          </w:rPr>
          <w:fldChar w:fldCharType="end"/>
        </w:r>
      </w:hyperlink>
    </w:p>
    <w:p w:rsidR="00900930" w:rsidRPr="00DB31C1" w:rsidRDefault="000D4117">
      <w:pPr>
        <w:pStyle w:val="Obsah2"/>
        <w:rPr>
          <w:rFonts w:ascii="Arial" w:hAnsi="Arial" w:cs="Arial"/>
          <w:b w:val="0"/>
          <w:bCs w:val="0"/>
          <w:sz w:val="22"/>
          <w:szCs w:val="22"/>
        </w:rPr>
      </w:pPr>
      <w:hyperlink w:anchor="_Toc453575859" w:history="1">
        <w:r w:rsidR="00900930" w:rsidRPr="00DB31C1">
          <w:rPr>
            <w:rStyle w:val="Hypertextovodkaz"/>
            <w:rFonts w:ascii="Arial" w:hAnsi="Arial" w:cs="Arial"/>
          </w:rPr>
          <w:t>3.1.</w:t>
        </w:r>
        <w:r w:rsidR="00900930" w:rsidRPr="00DB31C1">
          <w:rPr>
            <w:rFonts w:ascii="Arial" w:hAnsi="Arial" w:cs="Arial"/>
            <w:b w:val="0"/>
            <w:bCs w:val="0"/>
            <w:sz w:val="22"/>
            <w:szCs w:val="22"/>
          </w:rPr>
          <w:tab/>
        </w:r>
        <w:r w:rsidR="00900930" w:rsidRPr="00DB31C1">
          <w:rPr>
            <w:rStyle w:val="Hypertextovodkaz"/>
            <w:rFonts w:ascii="Arial" w:hAnsi="Arial" w:cs="Arial"/>
          </w:rPr>
          <w:t>Výběr lokality pro hlubinné úložiště</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_Toc453575859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6</w:t>
        </w:r>
        <w:r w:rsidR="00900930" w:rsidRPr="00DB31C1">
          <w:rPr>
            <w:rFonts w:ascii="Arial" w:hAnsi="Arial" w:cs="Arial"/>
            <w:webHidden/>
          </w:rPr>
          <w:fldChar w:fldCharType="end"/>
        </w:r>
      </w:hyperlink>
    </w:p>
    <w:p w:rsidR="00900930" w:rsidRPr="00DB31C1" w:rsidRDefault="000D4117">
      <w:pPr>
        <w:pStyle w:val="Obsah2"/>
        <w:rPr>
          <w:rFonts w:ascii="Arial" w:hAnsi="Arial" w:cs="Arial"/>
          <w:b w:val="0"/>
          <w:bCs w:val="0"/>
          <w:sz w:val="22"/>
          <w:szCs w:val="22"/>
        </w:rPr>
      </w:pPr>
      <w:hyperlink w:anchor="_Toc453575860" w:history="1">
        <w:r w:rsidR="00900930" w:rsidRPr="00DB31C1">
          <w:rPr>
            <w:rStyle w:val="Hypertextovodkaz"/>
            <w:rFonts w:ascii="Arial" w:hAnsi="Arial" w:cs="Arial"/>
          </w:rPr>
          <w:t>3.2</w:t>
        </w:r>
        <w:r w:rsidR="00900930" w:rsidRPr="00DB31C1">
          <w:rPr>
            <w:rFonts w:ascii="Arial" w:hAnsi="Arial" w:cs="Arial"/>
            <w:b w:val="0"/>
            <w:bCs w:val="0"/>
            <w:sz w:val="22"/>
            <w:szCs w:val="22"/>
          </w:rPr>
          <w:tab/>
        </w:r>
        <w:r w:rsidR="00900930" w:rsidRPr="00DB31C1">
          <w:rPr>
            <w:rStyle w:val="Hypertextovodkaz"/>
            <w:rFonts w:ascii="Arial" w:hAnsi="Arial" w:cs="Arial"/>
          </w:rPr>
          <w:t>Projektové a výzkumné činnosti</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_Toc453575860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8</w:t>
        </w:r>
        <w:r w:rsidR="00900930" w:rsidRPr="00DB31C1">
          <w:rPr>
            <w:rFonts w:ascii="Arial" w:hAnsi="Arial" w:cs="Arial"/>
            <w:webHidden/>
          </w:rPr>
          <w:fldChar w:fldCharType="end"/>
        </w:r>
      </w:hyperlink>
    </w:p>
    <w:p w:rsidR="00900930" w:rsidRPr="00DB31C1" w:rsidRDefault="000D4117">
      <w:pPr>
        <w:pStyle w:val="Obsah2"/>
        <w:rPr>
          <w:rFonts w:ascii="Arial" w:hAnsi="Arial" w:cs="Arial"/>
          <w:b w:val="0"/>
          <w:bCs w:val="0"/>
          <w:sz w:val="22"/>
          <w:szCs w:val="22"/>
        </w:rPr>
      </w:pPr>
      <w:hyperlink w:anchor="_Toc453575861" w:history="1">
        <w:r w:rsidR="00900930" w:rsidRPr="00DB31C1">
          <w:rPr>
            <w:rStyle w:val="Hypertextovodkaz"/>
            <w:rFonts w:ascii="Arial" w:hAnsi="Arial" w:cs="Arial"/>
          </w:rPr>
          <w:t>3.3</w:t>
        </w:r>
        <w:r w:rsidR="00900930" w:rsidRPr="00DB31C1">
          <w:rPr>
            <w:rFonts w:ascii="Arial" w:hAnsi="Arial" w:cs="Arial"/>
            <w:b w:val="0"/>
            <w:bCs w:val="0"/>
            <w:sz w:val="22"/>
            <w:szCs w:val="22"/>
          </w:rPr>
          <w:tab/>
        </w:r>
        <w:r w:rsidR="00900930" w:rsidRPr="00DB31C1">
          <w:rPr>
            <w:rStyle w:val="Hypertextovodkaz"/>
            <w:rFonts w:ascii="Arial" w:hAnsi="Arial" w:cs="Arial"/>
          </w:rPr>
          <w:t>Podzemní výzkumné pracoviště Bukov</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_Toc453575861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9</w:t>
        </w:r>
        <w:r w:rsidR="00900930" w:rsidRPr="00DB31C1">
          <w:rPr>
            <w:rFonts w:ascii="Arial" w:hAnsi="Arial" w:cs="Arial"/>
            <w:webHidden/>
          </w:rPr>
          <w:fldChar w:fldCharType="end"/>
        </w:r>
      </w:hyperlink>
    </w:p>
    <w:p w:rsidR="00900930" w:rsidRPr="00DB31C1" w:rsidRDefault="000D4117">
      <w:pPr>
        <w:pStyle w:val="Obsah1"/>
        <w:tabs>
          <w:tab w:val="left" w:pos="600"/>
          <w:tab w:val="right" w:leader="dot" w:pos="9062"/>
        </w:tabs>
        <w:rPr>
          <w:rFonts w:ascii="Arial" w:hAnsi="Arial" w:cs="Arial"/>
          <w:b w:val="0"/>
          <w:bCs w:val="0"/>
          <w:caps w:val="0"/>
          <w:noProof/>
          <w:sz w:val="22"/>
          <w:szCs w:val="22"/>
        </w:rPr>
      </w:pPr>
      <w:hyperlink w:anchor="_Toc453575862" w:history="1">
        <w:r w:rsidR="00900930" w:rsidRPr="00DB31C1">
          <w:rPr>
            <w:rStyle w:val="Hypertextovodkaz"/>
            <w:rFonts w:ascii="Arial" w:hAnsi="Arial" w:cs="Arial"/>
            <w:noProof/>
          </w:rPr>
          <w:t>4.</w:t>
        </w:r>
        <w:r w:rsidR="00900930" w:rsidRPr="00DB31C1">
          <w:rPr>
            <w:rFonts w:ascii="Arial" w:hAnsi="Arial" w:cs="Arial"/>
            <w:b w:val="0"/>
            <w:bCs w:val="0"/>
            <w:caps w:val="0"/>
            <w:noProof/>
            <w:sz w:val="22"/>
            <w:szCs w:val="22"/>
          </w:rPr>
          <w:tab/>
        </w:r>
        <w:r w:rsidR="00900930" w:rsidRPr="00DB31C1">
          <w:rPr>
            <w:rStyle w:val="Hypertextovodkaz"/>
            <w:rFonts w:ascii="Arial" w:hAnsi="Arial" w:cs="Arial"/>
            <w:noProof/>
          </w:rPr>
          <w:t>Komunikace s veřejností</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_Toc453575862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11</w:t>
        </w:r>
        <w:r w:rsidR="00900930" w:rsidRPr="00DB31C1">
          <w:rPr>
            <w:rFonts w:ascii="Arial" w:hAnsi="Arial" w:cs="Arial"/>
            <w:noProof/>
            <w:webHidden/>
          </w:rPr>
          <w:fldChar w:fldCharType="end"/>
        </w:r>
      </w:hyperlink>
    </w:p>
    <w:p w:rsidR="00900930" w:rsidRPr="00DB31C1" w:rsidRDefault="000D4117">
      <w:pPr>
        <w:pStyle w:val="Obsah1"/>
        <w:tabs>
          <w:tab w:val="left" w:pos="600"/>
          <w:tab w:val="right" w:leader="dot" w:pos="9062"/>
        </w:tabs>
        <w:rPr>
          <w:rFonts w:ascii="Arial" w:hAnsi="Arial" w:cs="Arial"/>
          <w:b w:val="0"/>
          <w:bCs w:val="0"/>
          <w:caps w:val="0"/>
          <w:noProof/>
          <w:sz w:val="22"/>
          <w:szCs w:val="22"/>
        </w:rPr>
      </w:pPr>
      <w:hyperlink w:anchor="_Toc453575863" w:history="1">
        <w:r w:rsidR="00900930" w:rsidRPr="00DB31C1">
          <w:rPr>
            <w:rStyle w:val="Hypertextovodkaz"/>
            <w:rFonts w:ascii="Arial" w:hAnsi="Arial" w:cs="Arial"/>
            <w:noProof/>
          </w:rPr>
          <w:t>5.</w:t>
        </w:r>
        <w:r w:rsidR="00900930" w:rsidRPr="00DB31C1">
          <w:rPr>
            <w:rFonts w:ascii="Arial" w:hAnsi="Arial" w:cs="Arial"/>
            <w:b w:val="0"/>
            <w:bCs w:val="0"/>
            <w:caps w:val="0"/>
            <w:noProof/>
            <w:sz w:val="22"/>
            <w:szCs w:val="22"/>
          </w:rPr>
          <w:tab/>
        </w:r>
        <w:r w:rsidR="00900930" w:rsidRPr="00DB31C1">
          <w:rPr>
            <w:rStyle w:val="Hypertextovodkaz"/>
            <w:rFonts w:ascii="Arial" w:hAnsi="Arial" w:cs="Arial"/>
            <w:noProof/>
          </w:rPr>
          <w:t>Správní a odborně-technické činnosti</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_Toc453575863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12</w:t>
        </w:r>
        <w:r w:rsidR="00900930" w:rsidRPr="00DB31C1">
          <w:rPr>
            <w:rFonts w:ascii="Arial" w:hAnsi="Arial" w:cs="Arial"/>
            <w:noProof/>
            <w:webHidden/>
          </w:rPr>
          <w:fldChar w:fldCharType="end"/>
        </w:r>
      </w:hyperlink>
    </w:p>
    <w:p w:rsidR="00900930" w:rsidRPr="00DB31C1" w:rsidRDefault="000D4117">
      <w:pPr>
        <w:pStyle w:val="Obsah1"/>
        <w:tabs>
          <w:tab w:val="left" w:pos="600"/>
          <w:tab w:val="right" w:leader="dot" w:pos="9062"/>
        </w:tabs>
        <w:rPr>
          <w:rFonts w:ascii="Arial" w:hAnsi="Arial" w:cs="Arial"/>
          <w:b w:val="0"/>
          <w:bCs w:val="0"/>
          <w:caps w:val="0"/>
          <w:noProof/>
          <w:sz w:val="22"/>
          <w:szCs w:val="22"/>
        </w:rPr>
      </w:pPr>
      <w:hyperlink w:anchor="_Toc453575864" w:history="1">
        <w:r w:rsidR="00900930" w:rsidRPr="00DB31C1">
          <w:rPr>
            <w:rStyle w:val="Hypertextovodkaz"/>
            <w:rFonts w:ascii="Arial" w:hAnsi="Arial" w:cs="Arial"/>
            <w:noProof/>
          </w:rPr>
          <w:t>6.</w:t>
        </w:r>
        <w:r w:rsidR="00900930" w:rsidRPr="00DB31C1">
          <w:rPr>
            <w:rFonts w:ascii="Arial" w:hAnsi="Arial" w:cs="Arial"/>
            <w:b w:val="0"/>
            <w:bCs w:val="0"/>
            <w:caps w:val="0"/>
            <w:noProof/>
            <w:sz w:val="22"/>
            <w:szCs w:val="22"/>
          </w:rPr>
          <w:tab/>
        </w:r>
        <w:r w:rsidR="00900930" w:rsidRPr="00DB31C1">
          <w:rPr>
            <w:rStyle w:val="Hypertextovodkaz"/>
            <w:rFonts w:ascii="Arial" w:hAnsi="Arial" w:cs="Arial"/>
            <w:noProof/>
          </w:rPr>
          <w:t>Rozpočet Správy pro rok 2017</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_Toc453575864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13</w:t>
        </w:r>
        <w:r w:rsidR="00900930" w:rsidRPr="00DB31C1">
          <w:rPr>
            <w:rFonts w:ascii="Arial" w:hAnsi="Arial" w:cs="Arial"/>
            <w:noProof/>
            <w:webHidden/>
          </w:rPr>
          <w:fldChar w:fldCharType="end"/>
        </w:r>
      </w:hyperlink>
    </w:p>
    <w:p w:rsidR="00900930" w:rsidRPr="00DB31C1" w:rsidRDefault="000D4117">
      <w:pPr>
        <w:pStyle w:val="Obsah1"/>
        <w:tabs>
          <w:tab w:val="left" w:pos="600"/>
          <w:tab w:val="right" w:leader="dot" w:pos="9062"/>
        </w:tabs>
        <w:rPr>
          <w:rFonts w:ascii="Arial" w:hAnsi="Arial" w:cs="Arial"/>
          <w:b w:val="0"/>
          <w:bCs w:val="0"/>
          <w:caps w:val="0"/>
          <w:noProof/>
          <w:sz w:val="22"/>
          <w:szCs w:val="22"/>
        </w:rPr>
      </w:pPr>
      <w:hyperlink w:anchor="_Toc453575865" w:history="1">
        <w:r w:rsidR="00900930" w:rsidRPr="00DB31C1">
          <w:rPr>
            <w:rStyle w:val="Hypertextovodkaz"/>
            <w:rFonts w:ascii="Arial" w:hAnsi="Arial" w:cs="Arial"/>
            <w:noProof/>
          </w:rPr>
          <w:t>7.</w:t>
        </w:r>
        <w:r w:rsidR="00900930" w:rsidRPr="00DB31C1">
          <w:rPr>
            <w:rFonts w:ascii="Arial" w:hAnsi="Arial" w:cs="Arial"/>
            <w:b w:val="0"/>
            <w:bCs w:val="0"/>
            <w:caps w:val="0"/>
            <w:noProof/>
            <w:sz w:val="22"/>
            <w:szCs w:val="22"/>
          </w:rPr>
          <w:tab/>
        </w:r>
        <w:r w:rsidR="00900930" w:rsidRPr="00DB31C1">
          <w:rPr>
            <w:rStyle w:val="Hypertextovodkaz"/>
            <w:rFonts w:ascii="Arial" w:hAnsi="Arial" w:cs="Arial"/>
            <w:noProof/>
          </w:rPr>
          <w:t>Plnění usnesení vlády</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_Toc453575865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14</w:t>
        </w:r>
        <w:r w:rsidR="00900930" w:rsidRPr="00DB31C1">
          <w:rPr>
            <w:rFonts w:ascii="Arial" w:hAnsi="Arial" w:cs="Arial"/>
            <w:noProof/>
            <w:webHidden/>
          </w:rPr>
          <w:fldChar w:fldCharType="end"/>
        </w:r>
      </w:hyperlink>
    </w:p>
    <w:p w:rsidR="00900930" w:rsidRPr="00DB31C1" w:rsidRDefault="000D4117">
      <w:pPr>
        <w:pStyle w:val="Obsah1"/>
        <w:tabs>
          <w:tab w:val="left" w:pos="600"/>
          <w:tab w:val="right" w:leader="dot" w:pos="9062"/>
        </w:tabs>
        <w:rPr>
          <w:rFonts w:ascii="Arial" w:hAnsi="Arial" w:cs="Arial"/>
          <w:b w:val="0"/>
          <w:bCs w:val="0"/>
          <w:caps w:val="0"/>
          <w:noProof/>
          <w:sz w:val="22"/>
          <w:szCs w:val="22"/>
        </w:rPr>
      </w:pPr>
      <w:hyperlink w:anchor="_Toc453575866" w:history="1">
        <w:r w:rsidR="00900930" w:rsidRPr="00DB31C1">
          <w:rPr>
            <w:rStyle w:val="Hypertextovodkaz"/>
            <w:rFonts w:ascii="Arial" w:hAnsi="Arial" w:cs="Arial"/>
            <w:noProof/>
          </w:rPr>
          <w:t>8.</w:t>
        </w:r>
        <w:r w:rsidR="00900930" w:rsidRPr="00DB31C1">
          <w:rPr>
            <w:rFonts w:ascii="Arial" w:hAnsi="Arial" w:cs="Arial"/>
            <w:b w:val="0"/>
            <w:bCs w:val="0"/>
            <w:caps w:val="0"/>
            <w:noProof/>
            <w:sz w:val="22"/>
            <w:szCs w:val="22"/>
          </w:rPr>
          <w:tab/>
        </w:r>
        <w:r w:rsidR="00900930" w:rsidRPr="00DB31C1">
          <w:rPr>
            <w:rStyle w:val="Hypertextovodkaz"/>
            <w:rFonts w:ascii="Arial" w:hAnsi="Arial" w:cs="Arial"/>
            <w:noProof/>
          </w:rPr>
          <w:t>Tříletý plán činnosti</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_Toc453575866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14</w:t>
        </w:r>
        <w:r w:rsidR="00900930" w:rsidRPr="00DB31C1">
          <w:rPr>
            <w:rFonts w:ascii="Arial" w:hAnsi="Arial" w:cs="Arial"/>
            <w:noProof/>
            <w:webHidden/>
          </w:rPr>
          <w:fldChar w:fldCharType="end"/>
        </w:r>
      </w:hyperlink>
    </w:p>
    <w:p w:rsidR="00900930" w:rsidRPr="00DB31C1" w:rsidRDefault="000D4117">
      <w:pPr>
        <w:pStyle w:val="Obsah2"/>
        <w:rPr>
          <w:rFonts w:ascii="Arial" w:hAnsi="Arial" w:cs="Arial"/>
          <w:b w:val="0"/>
          <w:bCs w:val="0"/>
          <w:sz w:val="22"/>
          <w:szCs w:val="22"/>
        </w:rPr>
      </w:pPr>
      <w:hyperlink w:anchor="_Toc453575867" w:history="1">
        <w:r w:rsidR="00900930" w:rsidRPr="00DB31C1">
          <w:rPr>
            <w:rStyle w:val="Hypertextovodkaz"/>
            <w:rFonts w:ascii="Arial" w:hAnsi="Arial" w:cs="Arial"/>
          </w:rPr>
          <w:t>8.1.</w:t>
        </w:r>
        <w:r w:rsidR="00900930" w:rsidRPr="00DB31C1">
          <w:rPr>
            <w:rFonts w:ascii="Arial" w:hAnsi="Arial" w:cs="Arial"/>
            <w:b w:val="0"/>
            <w:bCs w:val="0"/>
            <w:sz w:val="22"/>
            <w:szCs w:val="22"/>
          </w:rPr>
          <w:tab/>
        </w:r>
        <w:r w:rsidR="00900930" w:rsidRPr="00DB31C1">
          <w:rPr>
            <w:rStyle w:val="Hypertextovodkaz"/>
            <w:rFonts w:ascii="Arial" w:hAnsi="Arial" w:cs="Arial"/>
          </w:rPr>
          <w:t>Ukládání NSRAO</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_Toc453575867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14</w:t>
        </w:r>
        <w:r w:rsidR="00900930" w:rsidRPr="00DB31C1">
          <w:rPr>
            <w:rFonts w:ascii="Arial" w:hAnsi="Arial" w:cs="Arial"/>
            <w:webHidden/>
          </w:rPr>
          <w:fldChar w:fldCharType="end"/>
        </w:r>
      </w:hyperlink>
    </w:p>
    <w:p w:rsidR="00900930" w:rsidRPr="00DB31C1" w:rsidRDefault="000D4117">
      <w:pPr>
        <w:pStyle w:val="Obsah3"/>
        <w:tabs>
          <w:tab w:val="left" w:pos="1200"/>
          <w:tab w:val="right" w:leader="dot" w:pos="9062"/>
        </w:tabs>
        <w:rPr>
          <w:rFonts w:ascii="Arial" w:hAnsi="Arial" w:cs="Arial"/>
          <w:noProof/>
          <w:sz w:val="22"/>
          <w:szCs w:val="22"/>
        </w:rPr>
      </w:pPr>
      <w:hyperlink w:anchor="_Toc453575868" w:history="1">
        <w:r w:rsidR="00900930" w:rsidRPr="00DB31C1">
          <w:rPr>
            <w:rStyle w:val="Hypertextovodkaz"/>
            <w:rFonts w:ascii="Arial" w:hAnsi="Arial" w:cs="Arial"/>
            <w:noProof/>
          </w:rPr>
          <w:t>8.1.1.</w:t>
        </w:r>
        <w:r w:rsidR="00900930" w:rsidRPr="00DB31C1">
          <w:rPr>
            <w:rFonts w:ascii="Arial" w:hAnsi="Arial" w:cs="Arial"/>
            <w:noProof/>
            <w:sz w:val="22"/>
            <w:szCs w:val="22"/>
          </w:rPr>
          <w:tab/>
        </w:r>
        <w:r w:rsidR="00900930" w:rsidRPr="00DB31C1">
          <w:rPr>
            <w:rStyle w:val="Hypertextovodkaz"/>
            <w:rFonts w:ascii="Arial" w:hAnsi="Arial" w:cs="Arial"/>
            <w:noProof/>
          </w:rPr>
          <w:t>Úložiště radioaktivních odpadů Dukovany</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_Toc453575868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14</w:t>
        </w:r>
        <w:r w:rsidR="00900930" w:rsidRPr="00DB31C1">
          <w:rPr>
            <w:rFonts w:ascii="Arial" w:hAnsi="Arial" w:cs="Arial"/>
            <w:noProof/>
            <w:webHidden/>
          </w:rPr>
          <w:fldChar w:fldCharType="end"/>
        </w:r>
      </w:hyperlink>
    </w:p>
    <w:p w:rsidR="00900930" w:rsidRPr="00DB31C1" w:rsidRDefault="000D4117">
      <w:pPr>
        <w:pStyle w:val="Obsah3"/>
        <w:tabs>
          <w:tab w:val="left" w:pos="1200"/>
          <w:tab w:val="right" w:leader="dot" w:pos="9062"/>
        </w:tabs>
        <w:rPr>
          <w:rFonts w:ascii="Arial" w:hAnsi="Arial" w:cs="Arial"/>
          <w:noProof/>
          <w:sz w:val="22"/>
          <w:szCs w:val="22"/>
        </w:rPr>
      </w:pPr>
      <w:hyperlink w:anchor="_Toc453575869" w:history="1">
        <w:r w:rsidR="00900930" w:rsidRPr="00DB31C1">
          <w:rPr>
            <w:rStyle w:val="Hypertextovodkaz"/>
            <w:rFonts w:ascii="Arial" w:hAnsi="Arial" w:cs="Arial"/>
            <w:noProof/>
          </w:rPr>
          <w:t>8.1.2.</w:t>
        </w:r>
        <w:r w:rsidR="00900930" w:rsidRPr="00DB31C1">
          <w:rPr>
            <w:rFonts w:ascii="Arial" w:hAnsi="Arial" w:cs="Arial"/>
            <w:noProof/>
            <w:sz w:val="22"/>
            <w:szCs w:val="22"/>
          </w:rPr>
          <w:tab/>
        </w:r>
        <w:r w:rsidR="00900930" w:rsidRPr="00DB31C1">
          <w:rPr>
            <w:rStyle w:val="Hypertextovodkaz"/>
            <w:rFonts w:ascii="Arial" w:hAnsi="Arial" w:cs="Arial"/>
            <w:noProof/>
          </w:rPr>
          <w:t>Úložiště radioaktivních odpadů Richard a Bratrství</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_Toc453575869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15</w:t>
        </w:r>
        <w:r w:rsidR="00900930" w:rsidRPr="00DB31C1">
          <w:rPr>
            <w:rFonts w:ascii="Arial" w:hAnsi="Arial" w:cs="Arial"/>
            <w:noProof/>
            <w:webHidden/>
          </w:rPr>
          <w:fldChar w:fldCharType="end"/>
        </w:r>
      </w:hyperlink>
    </w:p>
    <w:p w:rsidR="00900930" w:rsidRPr="00DB31C1" w:rsidRDefault="000D4117">
      <w:pPr>
        <w:pStyle w:val="Obsah2"/>
        <w:rPr>
          <w:rFonts w:ascii="Arial" w:hAnsi="Arial" w:cs="Arial"/>
          <w:b w:val="0"/>
          <w:bCs w:val="0"/>
          <w:sz w:val="22"/>
          <w:szCs w:val="22"/>
        </w:rPr>
      </w:pPr>
      <w:hyperlink w:anchor="_Toc453575870" w:history="1">
        <w:r w:rsidR="00900930" w:rsidRPr="00DB31C1">
          <w:rPr>
            <w:rStyle w:val="Hypertextovodkaz"/>
            <w:rFonts w:ascii="Arial" w:hAnsi="Arial" w:cs="Arial"/>
          </w:rPr>
          <w:t>8.2.</w:t>
        </w:r>
        <w:r w:rsidR="00900930" w:rsidRPr="00DB31C1">
          <w:rPr>
            <w:rFonts w:ascii="Arial" w:hAnsi="Arial" w:cs="Arial"/>
            <w:b w:val="0"/>
            <w:bCs w:val="0"/>
            <w:sz w:val="22"/>
            <w:szCs w:val="22"/>
          </w:rPr>
          <w:tab/>
        </w:r>
        <w:r w:rsidR="00900930" w:rsidRPr="00DB31C1">
          <w:rPr>
            <w:rStyle w:val="Hypertextovodkaz"/>
            <w:rFonts w:ascii="Arial" w:hAnsi="Arial" w:cs="Arial"/>
          </w:rPr>
          <w:t>Ukládání VAO/VJP</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_Toc453575870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15</w:t>
        </w:r>
        <w:r w:rsidR="00900930" w:rsidRPr="00DB31C1">
          <w:rPr>
            <w:rFonts w:ascii="Arial" w:hAnsi="Arial" w:cs="Arial"/>
            <w:webHidden/>
          </w:rPr>
          <w:fldChar w:fldCharType="end"/>
        </w:r>
      </w:hyperlink>
    </w:p>
    <w:p w:rsidR="00900930" w:rsidRPr="00DB31C1" w:rsidRDefault="000D4117">
      <w:pPr>
        <w:pStyle w:val="Obsah2"/>
        <w:rPr>
          <w:rFonts w:ascii="Arial" w:hAnsi="Arial" w:cs="Arial"/>
          <w:b w:val="0"/>
          <w:bCs w:val="0"/>
          <w:sz w:val="22"/>
          <w:szCs w:val="22"/>
        </w:rPr>
      </w:pPr>
      <w:hyperlink w:anchor="_Toc453575871" w:history="1">
        <w:r w:rsidR="00900930" w:rsidRPr="00DB31C1">
          <w:rPr>
            <w:rStyle w:val="Hypertextovodkaz"/>
            <w:rFonts w:ascii="Arial" w:hAnsi="Arial" w:cs="Arial"/>
          </w:rPr>
          <w:t>8.3.</w:t>
        </w:r>
        <w:r w:rsidR="00900930" w:rsidRPr="00DB31C1">
          <w:rPr>
            <w:rFonts w:ascii="Arial" w:hAnsi="Arial" w:cs="Arial"/>
            <w:b w:val="0"/>
            <w:bCs w:val="0"/>
            <w:sz w:val="22"/>
            <w:szCs w:val="22"/>
          </w:rPr>
          <w:tab/>
        </w:r>
        <w:r w:rsidR="00900930" w:rsidRPr="00DB31C1">
          <w:rPr>
            <w:rStyle w:val="Hypertextovodkaz"/>
            <w:rFonts w:ascii="Arial" w:hAnsi="Arial" w:cs="Arial"/>
          </w:rPr>
          <w:t>Předpokládané příjmy jaderného účtu a výdaje Správy v letech 2017 – 2019</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_Toc453575871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16</w:t>
        </w:r>
        <w:r w:rsidR="00900930" w:rsidRPr="00DB31C1">
          <w:rPr>
            <w:rFonts w:ascii="Arial" w:hAnsi="Arial" w:cs="Arial"/>
            <w:webHidden/>
          </w:rPr>
          <w:fldChar w:fldCharType="end"/>
        </w:r>
      </w:hyperlink>
    </w:p>
    <w:p w:rsidR="00900930" w:rsidRPr="00DB31C1" w:rsidRDefault="000D4117">
      <w:pPr>
        <w:pStyle w:val="Obsah3"/>
        <w:tabs>
          <w:tab w:val="left" w:pos="1200"/>
          <w:tab w:val="right" w:leader="dot" w:pos="9062"/>
        </w:tabs>
        <w:rPr>
          <w:rFonts w:ascii="Arial" w:hAnsi="Arial" w:cs="Arial"/>
          <w:noProof/>
          <w:sz w:val="22"/>
          <w:szCs w:val="22"/>
        </w:rPr>
      </w:pPr>
      <w:hyperlink w:anchor="_Toc453575872" w:history="1">
        <w:r w:rsidR="00900930" w:rsidRPr="00DB31C1">
          <w:rPr>
            <w:rStyle w:val="Hypertextovodkaz"/>
            <w:rFonts w:ascii="Arial" w:hAnsi="Arial" w:cs="Arial"/>
            <w:noProof/>
          </w:rPr>
          <w:t>8.3.1.</w:t>
        </w:r>
        <w:r w:rsidR="00900930" w:rsidRPr="00DB31C1">
          <w:rPr>
            <w:rFonts w:ascii="Arial" w:hAnsi="Arial" w:cs="Arial"/>
            <w:noProof/>
            <w:sz w:val="22"/>
            <w:szCs w:val="22"/>
          </w:rPr>
          <w:tab/>
        </w:r>
        <w:r w:rsidR="00900930" w:rsidRPr="00DB31C1">
          <w:rPr>
            <w:rStyle w:val="Hypertextovodkaz"/>
            <w:rFonts w:ascii="Arial" w:hAnsi="Arial" w:cs="Arial"/>
            <w:noProof/>
          </w:rPr>
          <w:t>Předpokládané příjmy jaderného účtu</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_Toc453575872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16</w:t>
        </w:r>
        <w:r w:rsidR="00900930" w:rsidRPr="00DB31C1">
          <w:rPr>
            <w:rFonts w:ascii="Arial" w:hAnsi="Arial" w:cs="Arial"/>
            <w:noProof/>
            <w:webHidden/>
          </w:rPr>
          <w:fldChar w:fldCharType="end"/>
        </w:r>
      </w:hyperlink>
    </w:p>
    <w:p w:rsidR="00900930" w:rsidRPr="00DB31C1" w:rsidRDefault="000D4117">
      <w:pPr>
        <w:pStyle w:val="Obsah3"/>
        <w:tabs>
          <w:tab w:val="left" w:pos="1200"/>
          <w:tab w:val="right" w:leader="dot" w:pos="9062"/>
        </w:tabs>
        <w:rPr>
          <w:rFonts w:ascii="Arial" w:hAnsi="Arial" w:cs="Arial"/>
          <w:noProof/>
          <w:sz w:val="22"/>
          <w:szCs w:val="22"/>
        </w:rPr>
      </w:pPr>
      <w:hyperlink w:anchor="_Toc453575873" w:history="1">
        <w:r w:rsidR="00900930" w:rsidRPr="00DB31C1">
          <w:rPr>
            <w:rStyle w:val="Hypertextovodkaz"/>
            <w:rFonts w:ascii="Arial" w:hAnsi="Arial" w:cs="Arial"/>
            <w:noProof/>
          </w:rPr>
          <w:t>8.3.2.</w:t>
        </w:r>
        <w:r w:rsidR="00900930" w:rsidRPr="00DB31C1">
          <w:rPr>
            <w:rFonts w:ascii="Arial" w:hAnsi="Arial" w:cs="Arial"/>
            <w:noProof/>
            <w:sz w:val="22"/>
            <w:szCs w:val="22"/>
          </w:rPr>
          <w:tab/>
        </w:r>
        <w:r w:rsidR="00900930" w:rsidRPr="00DB31C1">
          <w:rPr>
            <w:rStyle w:val="Hypertextovodkaz"/>
            <w:rFonts w:ascii="Arial" w:hAnsi="Arial" w:cs="Arial"/>
            <w:noProof/>
          </w:rPr>
          <w:t>Předpokládané výdaje Správy</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_Toc453575873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16</w:t>
        </w:r>
        <w:r w:rsidR="00900930" w:rsidRPr="00DB31C1">
          <w:rPr>
            <w:rFonts w:ascii="Arial" w:hAnsi="Arial" w:cs="Arial"/>
            <w:noProof/>
            <w:webHidden/>
          </w:rPr>
          <w:fldChar w:fldCharType="end"/>
        </w:r>
      </w:hyperlink>
    </w:p>
    <w:p w:rsidR="00900930" w:rsidRPr="00DB31C1" w:rsidRDefault="000D4117">
      <w:pPr>
        <w:pStyle w:val="Obsah1"/>
        <w:tabs>
          <w:tab w:val="left" w:pos="600"/>
          <w:tab w:val="right" w:leader="dot" w:pos="9062"/>
        </w:tabs>
        <w:rPr>
          <w:rFonts w:ascii="Arial" w:hAnsi="Arial" w:cs="Arial"/>
          <w:b w:val="0"/>
          <w:bCs w:val="0"/>
          <w:caps w:val="0"/>
          <w:noProof/>
          <w:sz w:val="22"/>
          <w:szCs w:val="22"/>
        </w:rPr>
      </w:pPr>
      <w:hyperlink w:anchor="_Toc453575874" w:history="1">
        <w:r w:rsidR="00900930" w:rsidRPr="00DB31C1">
          <w:rPr>
            <w:rStyle w:val="Hypertextovodkaz"/>
            <w:rFonts w:ascii="Arial" w:hAnsi="Arial" w:cs="Arial"/>
            <w:noProof/>
          </w:rPr>
          <w:t>9.</w:t>
        </w:r>
        <w:r w:rsidR="00900930" w:rsidRPr="00DB31C1">
          <w:rPr>
            <w:rFonts w:ascii="Arial" w:hAnsi="Arial" w:cs="Arial"/>
            <w:b w:val="0"/>
            <w:bCs w:val="0"/>
            <w:caps w:val="0"/>
            <w:noProof/>
            <w:sz w:val="22"/>
            <w:szCs w:val="22"/>
          </w:rPr>
          <w:tab/>
        </w:r>
        <w:r w:rsidR="00900930" w:rsidRPr="00DB31C1">
          <w:rPr>
            <w:rStyle w:val="Hypertextovodkaz"/>
            <w:rFonts w:ascii="Arial" w:hAnsi="Arial" w:cs="Arial"/>
            <w:noProof/>
          </w:rPr>
          <w:t>Dlouhodobý plán činnosti</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_Toc453575874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16</w:t>
        </w:r>
        <w:r w:rsidR="00900930" w:rsidRPr="00DB31C1">
          <w:rPr>
            <w:rFonts w:ascii="Arial" w:hAnsi="Arial" w:cs="Arial"/>
            <w:noProof/>
            <w:webHidden/>
          </w:rPr>
          <w:fldChar w:fldCharType="end"/>
        </w:r>
      </w:hyperlink>
    </w:p>
    <w:p w:rsidR="00900930" w:rsidRPr="00DB31C1" w:rsidRDefault="000D4117">
      <w:pPr>
        <w:pStyle w:val="Obsah2"/>
        <w:rPr>
          <w:rFonts w:ascii="Arial" w:hAnsi="Arial" w:cs="Arial"/>
          <w:b w:val="0"/>
          <w:bCs w:val="0"/>
          <w:sz w:val="22"/>
          <w:szCs w:val="22"/>
        </w:rPr>
      </w:pPr>
      <w:hyperlink w:anchor="_Toc453575875" w:history="1">
        <w:r w:rsidR="00900930" w:rsidRPr="00DB31C1">
          <w:rPr>
            <w:rStyle w:val="Hypertextovodkaz"/>
            <w:rFonts w:ascii="Arial" w:hAnsi="Arial" w:cs="Arial"/>
          </w:rPr>
          <w:t>9.1.</w:t>
        </w:r>
        <w:r w:rsidR="00900930" w:rsidRPr="00DB31C1">
          <w:rPr>
            <w:rFonts w:ascii="Arial" w:hAnsi="Arial" w:cs="Arial"/>
            <w:b w:val="0"/>
            <w:bCs w:val="0"/>
            <w:sz w:val="22"/>
            <w:szCs w:val="22"/>
          </w:rPr>
          <w:tab/>
        </w:r>
        <w:r w:rsidR="00900930" w:rsidRPr="00DB31C1">
          <w:rPr>
            <w:rStyle w:val="Hypertextovodkaz"/>
            <w:rFonts w:ascii="Arial" w:hAnsi="Arial" w:cs="Arial"/>
          </w:rPr>
          <w:t>Ukládání NSRAO</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_Toc453575875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16</w:t>
        </w:r>
        <w:r w:rsidR="00900930" w:rsidRPr="00DB31C1">
          <w:rPr>
            <w:rFonts w:ascii="Arial" w:hAnsi="Arial" w:cs="Arial"/>
            <w:webHidden/>
          </w:rPr>
          <w:fldChar w:fldCharType="end"/>
        </w:r>
      </w:hyperlink>
    </w:p>
    <w:p w:rsidR="00900930" w:rsidRPr="00DB31C1" w:rsidRDefault="000D4117">
      <w:pPr>
        <w:pStyle w:val="Obsah2"/>
        <w:rPr>
          <w:rFonts w:ascii="Arial" w:hAnsi="Arial" w:cs="Arial"/>
          <w:b w:val="0"/>
          <w:bCs w:val="0"/>
          <w:sz w:val="22"/>
          <w:szCs w:val="22"/>
        </w:rPr>
      </w:pPr>
      <w:hyperlink w:anchor="_Toc453575876" w:history="1">
        <w:r w:rsidR="00900930" w:rsidRPr="00DB31C1">
          <w:rPr>
            <w:rStyle w:val="Hypertextovodkaz"/>
            <w:rFonts w:ascii="Arial" w:hAnsi="Arial" w:cs="Arial"/>
          </w:rPr>
          <w:t>9.2.</w:t>
        </w:r>
        <w:r w:rsidR="00900930" w:rsidRPr="00DB31C1">
          <w:rPr>
            <w:rFonts w:ascii="Arial" w:hAnsi="Arial" w:cs="Arial"/>
            <w:b w:val="0"/>
            <w:bCs w:val="0"/>
            <w:sz w:val="22"/>
            <w:szCs w:val="22"/>
          </w:rPr>
          <w:tab/>
        </w:r>
        <w:r w:rsidR="00900930" w:rsidRPr="00DB31C1">
          <w:rPr>
            <w:rStyle w:val="Hypertextovodkaz"/>
            <w:rFonts w:ascii="Arial" w:hAnsi="Arial" w:cs="Arial"/>
          </w:rPr>
          <w:t>Ukládání VAO/VJP</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_Toc453575876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17</w:t>
        </w:r>
        <w:r w:rsidR="00900930" w:rsidRPr="00DB31C1">
          <w:rPr>
            <w:rFonts w:ascii="Arial" w:hAnsi="Arial" w:cs="Arial"/>
            <w:webHidden/>
          </w:rPr>
          <w:fldChar w:fldCharType="end"/>
        </w:r>
      </w:hyperlink>
    </w:p>
    <w:p w:rsidR="00900930" w:rsidRPr="00DB31C1" w:rsidRDefault="000D4117">
      <w:pPr>
        <w:pStyle w:val="Obsah2"/>
        <w:rPr>
          <w:rFonts w:ascii="Arial" w:hAnsi="Arial" w:cs="Arial"/>
          <w:b w:val="0"/>
          <w:bCs w:val="0"/>
          <w:sz w:val="22"/>
          <w:szCs w:val="22"/>
        </w:rPr>
      </w:pPr>
      <w:hyperlink w:anchor="_Toc453575877" w:history="1">
        <w:r w:rsidR="00900930" w:rsidRPr="00DB31C1">
          <w:rPr>
            <w:rStyle w:val="Hypertextovodkaz"/>
            <w:rFonts w:ascii="Arial" w:hAnsi="Arial" w:cs="Arial"/>
          </w:rPr>
          <w:t>9.3.</w:t>
        </w:r>
        <w:r w:rsidR="00900930" w:rsidRPr="00DB31C1">
          <w:rPr>
            <w:rFonts w:ascii="Arial" w:hAnsi="Arial" w:cs="Arial"/>
            <w:b w:val="0"/>
            <w:bCs w:val="0"/>
            <w:sz w:val="22"/>
            <w:szCs w:val="22"/>
          </w:rPr>
          <w:tab/>
        </w:r>
        <w:r w:rsidR="00900930" w:rsidRPr="00DB31C1">
          <w:rPr>
            <w:rStyle w:val="Hypertextovodkaz"/>
            <w:rFonts w:ascii="Arial" w:hAnsi="Arial" w:cs="Arial"/>
          </w:rPr>
          <w:t>Předpokládané příjmy a výdaje</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_Toc453575877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18</w:t>
        </w:r>
        <w:r w:rsidR="00900930" w:rsidRPr="00DB31C1">
          <w:rPr>
            <w:rFonts w:ascii="Arial" w:hAnsi="Arial" w:cs="Arial"/>
            <w:webHidden/>
          </w:rPr>
          <w:fldChar w:fldCharType="end"/>
        </w:r>
      </w:hyperlink>
    </w:p>
    <w:p w:rsidR="00900930" w:rsidRPr="00DB31C1" w:rsidRDefault="000D4117">
      <w:pPr>
        <w:pStyle w:val="Obsah1"/>
        <w:tabs>
          <w:tab w:val="left" w:pos="600"/>
          <w:tab w:val="right" w:leader="dot" w:pos="9062"/>
        </w:tabs>
        <w:rPr>
          <w:rFonts w:ascii="Arial" w:hAnsi="Arial" w:cs="Arial"/>
          <w:b w:val="0"/>
          <w:bCs w:val="0"/>
          <w:caps w:val="0"/>
          <w:noProof/>
          <w:sz w:val="22"/>
          <w:szCs w:val="22"/>
        </w:rPr>
      </w:pPr>
      <w:hyperlink w:anchor="_Toc453575878" w:history="1">
        <w:r w:rsidR="00900930" w:rsidRPr="00DB31C1">
          <w:rPr>
            <w:rStyle w:val="Hypertextovodkaz"/>
            <w:rFonts w:ascii="Arial" w:hAnsi="Arial" w:cs="Arial"/>
            <w:noProof/>
          </w:rPr>
          <w:t>10.</w:t>
        </w:r>
        <w:r w:rsidR="00900930" w:rsidRPr="00DB31C1">
          <w:rPr>
            <w:rFonts w:ascii="Arial" w:hAnsi="Arial" w:cs="Arial"/>
            <w:b w:val="0"/>
            <w:bCs w:val="0"/>
            <w:caps w:val="0"/>
            <w:noProof/>
            <w:sz w:val="22"/>
            <w:szCs w:val="22"/>
          </w:rPr>
          <w:tab/>
        </w:r>
        <w:r w:rsidR="00900930" w:rsidRPr="00DB31C1">
          <w:rPr>
            <w:rStyle w:val="Hypertextovodkaz"/>
            <w:rFonts w:ascii="Arial" w:hAnsi="Arial" w:cs="Arial"/>
            <w:noProof/>
          </w:rPr>
          <w:t>Přílohy</w:t>
        </w:r>
        <w:r w:rsidR="00900930" w:rsidRPr="00DB31C1">
          <w:rPr>
            <w:rFonts w:ascii="Arial" w:hAnsi="Arial" w:cs="Arial"/>
            <w:noProof/>
            <w:webHidden/>
          </w:rPr>
          <w:tab/>
        </w:r>
        <w:r w:rsidR="00900930" w:rsidRPr="00DB31C1">
          <w:rPr>
            <w:rFonts w:ascii="Arial" w:hAnsi="Arial" w:cs="Arial"/>
            <w:noProof/>
            <w:webHidden/>
          </w:rPr>
          <w:fldChar w:fldCharType="begin"/>
        </w:r>
        <w:r w:rsidR="00900930" w:rsidRPr="00DB31C1">
          <w:rPr>
            <w:rFonts w:ascii="Arial" w:hAnsi="Arial" w:cs="Arial"/>
            <w:noProof/>
            <w:webHidden/>
          </w:rPr>
          <w:instrText xml:space="preserve"> PAGEREF _Toc453575878 \h </w:instrText>
        </w:r>
        <w:r w:rsidR="00900930" w:rsidRPr="00DB31C1">
          <w:rPr>
            <w:rFonts w:ascii="Arial" w:hAnsi="Arial" w:cs="Arial"/>
            <w:noProof/>
            <w:webHidden/>
          </w:rPr>
        </w:r>
        <w:r w:rsidR="00900930" w:rsidRPr="00DB31C1">
          <w:rPr>
            <w:rFonts w:ascii="Arial" w:hAnsi="Arial" w:cs="Arial"/>
            <w:noProof/>
            <w:webHidden/>
          </w:rPr>
          <w:fldChar w:fldCharType="separate"/>
        </w:r>
        <w:r w:rsidR="00F27AF1">
          <w:rPr>
            <w:rFonts w:ascii="Arial" w:hAnsi="Arial" w:cs="Arial"/>
            <w:noProof/>
            <w:webHidden/>
          </w:rPr>
          <w:t>19</w:t>
        </w:r>
        <w:r w:rsidR="00900930" w:rsidRPr="00DB31C1">
          <w:rPr>
            <w:rFonts w:ascii="Arial" w:hAnsi="Arial" w:cs="Arial"/>
            <w:noProof/>
            <w:webHidden/>
          </w:rPr>
          <w:fldChar w:fldCharType="end"/>
        </w:r>
      </w:hyperlink>
    </w:p>
    <w:p w:rsidR="00900930" w:rsidRPr="00DB31C1" w:rsidRDefault="000D4117">
      <w:pPr>
        <w:pStyle w:val="Obsah2"/>
        <w:rPr>
          <w:rFonts w:ascii="Arial" w:hAnsi="Arial" w:cs="Arial"/>
          <w:b w:val="0"/>
          <w:bCs w:val="0"/>
          <w:sz w:val="22"/>
          <w:szCs w:val="22"/>
        </w:rPr>
      </w:pPr>
      <w:hyperlink w:anchor="_Toc453575879" w:history="1">
        <w:r w:rsidR="00900930" w:rsidRPr="00DB31C1">
          <w:rPr>
            <w:rStyle w:val="Hypertextovodkaz"/>
            <w:rFonts w:ascii="Arial" w:hAnsi="Arial" w:cs="Arial"/>
          </w:rPr>
          <w:t>10.1.</w:t>
        </w:r>
        <w:r w:rsidR="00900930" w:rsidRPr="00DB31C1">
          <w:rPr>
            <w:rFonts w:ascii="Arial" w:hAnsi="Arial" w:cs="Arial"/>
            <w:b w:val="0"/>
            <w:bCs w:val="0"/>
            <w:sz w:val="22"/>
            <w:szCs w:val="22"/>
          </w:rPr>
          <w:tab/>
        </w:r>
        <w:r w:rsidR="00900930" w:rsidRPr="00DB31C1">
          <w:rPr>
            <w:rStyle w:val="Hypertextovodkaz"/>
            <w:rFonts w:ascii="Arial" w:hAnsi="Arial" w:cs="Arial"/>
          </w:rPr>
          <w:t>Příloha č. 1: Podrobnější členění rozpočtu Správy</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_Toc453575879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19</w:t>
        </w:r>
        <w:r w:rsidR="00900930" w:rsidRPr="00DB31C1">
          <w:rPr>
            <w:rFonts w:ascii="Arial" w:hAnsi="Arial" w:cs="Arial"/>
            <w:webHidden/>
          </w:rPr>
          <w:fldChar w:fldCharType="end"/>
        </w:r>
      </w:hyperlink>
    </w:p>
    <w:p w:rsidR="00900930" w:rsidRPr="00DB31C1" w:rsidRDefault="000D4117">
      <w:pPr>
        <w:pStyle w:val="Obsah2"/>
        <w:rPr>
          <w:rFonts w:ascii="Arial" w:hAnsi="Arial" w:cs="Arial"/>
          <w:b w:val="0"/>
          <w:bCs w:val="0"/>
          <w:sz w:val="22"/>
          <w:szCs w:val="22"/>
        </w:rPr>
      </w:pPr>
      <w:hyperlink w:anchor="_Toc453575880" w:history="1">
        <w:r w:rsidR="00900930" w:rsidRPr="00DB31C1">
          <w:rPr>
            <w:rStyle w:val="Hypertextovodkaz"/>
            <w:rFonts w:ascii="Arial" w:hAnsi="Arial" w:cs="Arial"/>
          </w:rPr>
          <w:t>10.2.</w:t>
        </w:r>
        <w:r w:rsidR="00900930" w:rsidRPr="00DB31C1">
          <w:rPr>
            <w:rFonts w:ascii="Arial" w:hAnsi="Arial" w:cs="Arial"/>
            <w:b w:val="0"/>
            <w:bCs w:val="0"/>
            <w:sz w:val="22"/>
            <w:szCs w:val="22"/>
          </w:rPr>
          <w:tab/>
        </w:r>
        <w:r w:rsidR="00900930" w:rsidRPr="00DB31C1">
          <w:rPr>
            <w:rStyle w:val="Hypertextovodkaz"/>
            <w:rFonts w:ascii="Arial" w:hAnsi="Arial" w:cs="Arial"/>
          </w:rPr>
          <w:t>Příloha č. 2: Přehled použití příspěvku z jaderného účtu</w:t>
        </w:r>
        <w:r w:rsidR="00900930" w:rsidRPr="00DB31C1">
          <w:rPr>
            <w:rFonts w:ascii="Arial" w:hAnsi="Arial" w:cs="Arial"/>
            <w:webHidden/>
          </w:rPr>
          <w:tab/>
        </w:r>
        <w:r w:rsidR="00900930" w:rsidRPr="00DB31C1">
          <w:rPr>
            <w:rFonts w:ascii="Arial" w:hAnsi="Arial" w:cs="Arial"/>
            <w:webHidden/>
          </w:rPr>
          <w:fldChar w:fldCharType="begin"/>
        </w:r>
        <w:r w:rsidR="00900930" w:rsidRPr="00DB31C1">
          <w:rPr>
            <w:rFonts w:ascii="Arial" w:hAnsi="Arial" w:cs="Arial"/>
            <w:webHidden/>
          </w:rPr>
          <w:instrText xml:space="preserve"> PAGEREF _Toc453575880 \h </w:instrText>
        </w:r>
        <w:r w:rsidR="00900930" w:rsidRPr="00DB31C1">
          <w:rPr>
            <w:rFonts w:ascii="Arial" w:hAnsi="Arial" w:cs="Arial"/>
            <w:webHidden/>
          </w:rPr>
        </w:r>
        <w:r w:rsidR="00900930" w:rsidRPr="00DB31C1">
          <w:rPr>
            <w:rFonts w:ascii="Arial" w:hAnsi="Arial" w:cs="Arial"/>
            <w:webHidden/>
          </w:rPr>
          <w:fldChar w:fldCharType="separate"/>
        </w:r>
        <w:r w:rsidR="00F27AF1">
          <w:rPr>
            <w:rFonts w:ascii="Arial" w:hAnsi="Arial" w:cs="Arial"/>
            <w:webHidden/>
          </w:rPr>
          <w:t>21</w:t>
        </w:r>
        <w:r w:rsidR="00900930" w:rsidRPr="00DB31C1">
          <w:rPr>
            <w:rFonts w:ascii="Arial" w:hAnsi="Arial" w:cs="Arial"/>
            <w:webHidden/>
          </w:rPr>
          <w:fldChar w:fldCharType="end"/>
        </w:r>
      </w:hyperlink>
    </w:p>
    <w:p w:rsidR="00DA0B00" w:rsidRPr="002E33C8" w:rsidRDefault="00DA0B00" w:rsidP="00DA0B00">
      <w:pPr>
        <w:pStyle w:val="Normln0"/>
        <w:jc w:val="both"/>
        <w:rPr>
          <w:rFonts w:ascii="Arial" w:hAnsi="Arial" w:cs="Arial"/>
          <w:sz w:val="24"/>
          <w:szCs w:val="24"/>
        </w:rPr>
      </w:pPr>
      <w:r w:rsidRPr="00DB31C1">
        <w:rPr>
          <w:rFonts w:ascii="Arial" w:hAnsi="Arial" w:cs="Arial"/>
          <w:sz w:val="24"/>
          <w:szCs w:val="24"/>
        </w:rPr>
        <w:fldChar w:fldCharType="end"/>
      </w:r>
    </w:p>
    <w:p w:rsidR="00DA0B00" w:rsidRPr="002E33C8" w:rsidRDefault="00DA0B00" w:rsidP="00DA0B00">
      <w:pPr>
        <w:pStyle w:val="Normln0"/>
        <w:jc w:val="both"/>
        <w:rPr>
          <w:rFonts w:ascii="Arial" w:hAnsi="Arial" w:cs="Arial"/>
          <w:sz w:val="24"/>
          <w:szCs w:val="24"/>
        </w:rPr>
      </w:pPr>
      <w:r w:rsidRPr="002E33C8">
        <w:rPr>
          <w:rFonts w:ascii="Arial" w:hAnsi="Arial" w:cs="Arial"/>
          <w:sz w:val="24"/>
          <w:szCs w:val="24"/>
        </w:rPr>
        <w:br w:type="page"/>
      </w:r>
    </w:p>
    <w:p w:rsidR="00DA0B00" w:rsidRPr="002E33C8" w:rsidRDefault="00DA0B00" w:rsidP="00DA0B00">
      <w:pPr>
        <w:pStyle w:val="Nadpis1"/>
        <w:rPr>
          <w:rFonts w:ascii="Arial" w:hAnsi="Arial" w:cs="Arial"/>
        </w:rPr>
      </w:pPr>
      <w:bookmarkStart w:id="3" w:name="_Toc515325875"/>
      <w:bookmarkStart w:id="4" w:name="_Toc14078625"/>
      <w:bookmarkStart w:id="5" w:name="_Toc424383605"/>
      <w:bookmarkStart w:id="6" w:name="_Toc424383879"/>
      <w:bookmarkStart w:id="7" w:name="_Toc426945524"/>
      <w:bookmarkStart w:id="8" w:name="_Toc427297923"/>
      <w:bookmarkStart w:id="9" w:name="_Toc427475044"/>
      <w:bookmarkStart w:id="10" w:name="_Toc427982338"/>
      <w:bookmarkStart w:id="11" w:name="_Toc431523800"/>
      <w:bookmarkStart w:id="12" w:name="_Toc431539517"/>
      <w:bookmarkStart w:id="13" w:name="_Toc432730226"/>
      <w:bookmarkStart w:id="14" w:name="_Toc453575851"/>
      <w:bookmarkStart w:id="15" w:name="_Toc432928731"/>
      <w:bookmarkStart w:id="16" w:name="_Toc432928795"/>
      <w:bookmarkStart w:id="17" w:name="_Toc432928920"/>
      <w:bookmarkStart w:id="18" w:name="_Toc432987565"/>
      <w:bookmarkStart w:id="19" w:name="_Toc433077140"/>
      <w:bookmarkStart w:id="20" w:name="_Toc433080422"/>
      <w:r w:rsidRPr="002E33C8">
        <w:rPr>
          <w:rFonts w:ascii="Arial" w:hAnsi="Arial" w:cs="Arial"/>
        </w:rPr>
        <w:lastRenderedPageBreak/>
        <w:t>Úvod</w:t>
      </w:r>
      <w:bookmarkEnd w:id="3"/>
      <w:bookmarkEnd w:id="4"/>
      <w:bookmarkEnd w:id="5"/>
      <w:bookmarkEnd w:id="6"/>
      <w:bookmarkEnd w:id="7"/>
      <w:bookmarkEnd w:id="8"/>
      <w:bookmarkEnd w:id="9"/>
      <w:bookmarkEnd w:id="10"/>
      <w:bookmarkEnd w:id="11"/>
      <w:bookmarkEnd w:id="12"/>
      <w:bookmarkEnd w:id="13"/>
      <w:bookmarkEnd w:id="14"/>
    </w:p>
    <w:p w:rsidR="00DA0B00" w:rsidRPr="002E33C8" w:rsidRDefault="00DA0B00" w:rsidP="00DA0B00">
      <w:pPr>
        <w:pStyle w:val="Nadpis2"/>
        <w:rPr>
          <w:rFonts w:ascii="Arial" w:hAnsi="Arial" w:cs="Arial"/>
        </w:rPr>
      </w:pPr>
      <w:bookmarkStart w:id="21" w:name="_Toc432928732"/>
      <w:bookmarkStart w:id="22" w:name="_Toc432928796"/>
      <w:bookmarkStart w:id="23" w:name="_Toc432928921"/>
      <w:bookmarkStart w:id="24" w:name="_Toc432987566"/>
      <w:bookmarkStart w:id="25" w:name="_Toc433077141"/>
      <w:bookmarkStart w:id="26" w:name="_Toc433080423"/>
      <w:bookmarkStart w:id="27" w:name="_Toc515325876"/>
      <w:bookmarkStart w:id="28" w:name="_Toc14078626"/>
      <w:bookmarkStart w:id="29" w:name="_Toc453575852"/>
      <w:r w:rsidRPr="002E33C8">
        <w:rPr>
          <w:rFonts w:ascii="Arial" w:hAnsi="Arial" w:cs="Arial"/>
        </w:rPr>
        <w:t>Poslání a zásady činnosti Správy úložišť radioaktivních odpadů</w:t>
      </w:r>
      <w:bookmarkEnd w:id="21"/>
      <w:bookmarkEnd w:id="22"/>
      <w:bookmarkEnd w:id="23"/>
      <w:bookmarkEnd w:id="24"/>
      <w:bookmarkEnd w:id="25"/>
      <w:bookmarkEnd w:id="26"/>
      <w:bookmarkEnd w:id="27"/>
      <w:bookmarkEnd w:id="28"/>
      <w:bookmarkEnd w:id="29"/>
      <w:r w:rsidRPr="002E33C8">
        <w:rPr>
          <w:rFonts w:ascii="Arial" w:hAnsi="Arial" w:cs="Arial"/>
        </w:rPr>
        <w:t xml:space="preserve"> </w:t>
      </w:r>
    </w:p>
    <w:p w:rsidR="00DA0B00" w:rsidRPr="002E33C8" w:rsidRDefault="00DA0B00" w:rsidP="00DA0B00">
      <w:pPr>
        <w:ind w:firstLine="708"/>
        <w:rPr>
          <w:rFonts w:ascii="Arial" w:hAnsi="Arial" w:cs="Arial"/>
        </w:rPr>
      </w:pPr>
    </w:p>
    <w:p w:rsidR="00DA0B00" w:rsidRPr="002E33C8" w:rsidRDefault="00DA0B00" w:rsidP="00DA0B00">
      <w:pPr>
        <w:ind w:firstLine="708"/>
        <w:rPr>
          <w:rFonts w:ascii="Arial" w:hAnsi="Arial" w:cs="Arial"/>
        </w:rPr>
      </w:pPr>
      <w:r w:rsidRPr="002E33C8">
        <w:rPr>
          <w:rFonts w:ascii="Arial" w:hAnsi="Arial" w:cs="Arial"/>
        </w:rPr>
        <w:t>Správa úložišť radioaktivních odpadů (dále Správa) byla podle § 26 odst.</w:t>
      </w:r>
      <w:r>
        <w:rPr>
          <w:rFonts w:ascii="Arial" w:hAnsi="Arial" w:cs="Arial"/>
        </w:rPr>
        <w:t> </w:t>
      </w:r>
      <w:r w:rsidRPr="002E33C8">
        <w:rPr>
          <w:rFonts w:ascii="Arial" w:hAnsi="Arial" w:cs="Arial"/>
        </w:rPr>
        <w:t>1</w:t>
      </w:r>
      <w:r>
        <w:rPr>
          <w:rFonts w:ascii="Arial" w:hAnsi="Arial" w:cs="Arial"/>
        </w:rPr>
        <w:t> </w:t>
      </w:r>
      <w:r w:rsidRPr="002E33C8">
        <w:rPr>
          <w:rFonts w:ascii="Arial" w:hAnsi="Arial" w:cs="Arial"/>
        </w:rPr>
        <w:t>zákona č. 18/1997 Sb., o mírovém využívání jaderné energie a ionizujícího záření (atomový zákon) a o změně a doplnění některých zákonů</w:t>
      </w:r>
      <w:r>
        <w:rPr>
          <w:rFonts w:ascii="Arial" w:hAnsi="Arial" w:cs="Arial"/>
        </w:rPr>
        <w:t>,</w:t>
      </w:r>
      <w:r w:rsidRPr="002E33C8">
        <w:rPr>
          <w:rFonts w:ascii="Arial" w:hAnsi="Arial" w:cs="Arial"/>
        </w:rPr>
        <w:t xml:space="preserve"> ve znění pozdějších předpisů</w:t>
      </w:r>
      <w:r>
        <w:rPr>
          <w:rFonts w:ascii="Arial" w:hAnsi="Arial" w:cs="Arial"/>
        </w:rPr>
        <w:t>,</w:t>
      </w:r>
      <w:r w:rsidRPr="002E33C8">
        <w:rPr>
          <w:rFonts w:ascii="Arial" w:hAnsi="Arial" w:cs="Arial"/>
        </w:rPr>
        <w:t xml:space="preserve"> zřízena MPO, jako státní organizace. Od 1. 1. 2001 je podle zákona č. 219/2000 Sb., o majetku České republiky a jejím vystupováním v právních vztazích, organizační složkou státu. Posláním Správy je zajišťovat bezpečné ukládání radioaktivních odpadů dosud vyprodukovaných i budoucích v souladu s</w:t>
      </w:r>
      <w:r>
        <w:rPr>
          <w:rFonts w:ascii="Arial" w:hAnsi="Arial" w:cs="Arial"/>
        </w:rPr>
        <w:t> </w:t>
      </w:r>
      <w:r w:rsidRPr="002E33C8">
        <w:rPr>
          <w:rFonts w:ascii="Arial" w:hAnsi="Arial" w:cs="Arial"/>
        </w:rPr>
        <w:t>požadavky na jadernou bezpečnost a ochranu člověka i životního prostředí</w:t>
      </w:r>
      <w:r w:rsidRPr="002E33C8">
        <w:rPr>
          <w:rStyle w:val="Znakapoznpodarou"/>
          <w:rFonts w:ascii="Arial" w:hAnsi="Arial" w:cs="Arial"/>
        </w:rPr>
        <w:footnoteReference w:id="1"/>
      </w:r>
      <w:r w:rsidRPr="002E33C8">
        <w:rPr>
          <w:rFonts w:ascii="Arial" w:hAnsi="Arial" w:cs="Arial"/>
        </w:rPr>
        <w:t>.</w:t>
      </w:r>
    </w:p>
    <w:p w:rsidR="00DA0B00" w:rsidRPr="002E33C8" w:rsidRDefault="00DA0B00" w:rsidP="00DA0B00">
      <w:pPr>
        <w:ind w:firstLine="708"/>
        <w:rPr>
          <w:rFonts w:ascii="Arial" w:hAnsi="Arial" w:cs="Arial"/>
        </w:rPr>
      </w:pPr>
      <w:r w:rsidRPr="002E33C8">
        <w:rPr>
          <w:rFonts w:ascii="Arial" w:hAnsi="Arial" w:cs="Arial"/>
        </w:rPr>
        <w:t>Roční, tříletý a dlouhodobý plán činnosti se předkládá ke schválení vládě prostřednictvím ministra průmyslu a obchodu v souladu s ustanovením § 30 odst.</w:t>
      </w:r>
      <w:r>
        <w:rPr>
          <w:rFonts w:ascii="Arial" w:hAnsi="Arial" w:cs="Arial"/>
        </w:rPr>
        <w:t> </w:t>
      </w:r>
      <w:r w:rsidRPr="002E33C8">
        <w:rPr>
          <w:rFonts w:ascii="Arial" w:hAnsi="Arial" w:cs="Arial"/>
        </w:rPr>
        <w:t>1</w:t>
      </w:r>
      <w:r>
        <w:rPr>
          <w:rFonts w:ascii="Arial" w:hAnsi="Arial" w:cs="Arial"/>
        </w:rPr>
        <w:t> </w:t>
      </w:r>
      <w:r w:rsidRPr="002E33C8">
        <w:rPr>
          <w:rFonts w:ascii="Arial" w:hAnsi="Arial" w:cs="Arial"/>
        </w:rPr>
        <w:t xml:space="preserve">písm. a) a b) atomového zákona. Rada Správy doporučuje ministrovi předložení plánu vládě podle § 29 odst. 5 písm. b) atomového zákona. Na činnost Správy v průběhu roku dohlíží Rada Správy, </w:t>
      </w:r>
      <w:r>
        <w:rPr>
          <w:rFonts w:ascii="Arial" w:hAnsi="Arial" w:cs="Arial"/>
        </w:rPr>
        <w:t>v</w:t>
      </w:r>
      <w:r w:rsidRPr="002E33C8">
        <w:rPr>
          <w:rFonts w:ascii="Arial" w:hAnsi="Arial" w:cs="Arial"/>
        </w:rPr>
        <w:t> níž jsou zástupci MPO, MF, MŽP, hlavních původců radioaktivních odpadů a regionů měst a obcí s provozovanými úložišti a zástupce širší veřejnosti. Rada Správy dohlíží na hospodárnost a účelnost vynakládání prostředků na činnosti zajišťované a prováděné Správou. Činnosti Správy jsou financovány z prostředků jaderného účtu, účelového zdroje vytvářeného původci radioaktivních odpadů, který je součástí státních finančních aktiv.</w:t>
      </w:r>
    </w:p>
    <w:p w:rsidR="00DA0B00" w:rsidRPr="002E33C8" w:rsidRDefault="00DA0B00" w:rsidP="00DA0B00">
      <w:pPr>
        <w:pStyle w:val="Normln0"/>
        <w:ind w:right="-1"/>
        <w:jc w:val="both"/>
        <w:rPr>
          <w:rFonts w:ascii="Arial" w:hAnsi="Arial" w:cs="Arial"/>
          <w:sz w:val="24"/>
          <w:szCs w:val="24"/>
        </w:rPr>
      </w:pPr>
    </w:p>
    <w:p w:rsidR="00DA0B00" w:rsidRPr="002E33C8" w:rsidRDefault="00DA0B00" w:rsidP="00DA0B00">
      <w:pPr>
        <w:pStyle w:val="Nadpis2"/>
        <w:rPr>
          <w:rFonts w:ascii="Arial" w:hAnsi="Arial" w:cs="Arial"/>
        </w:rPr>
      </w:pPr>
      <w:bookmarkStart w:id="30" w:name="_Toc432928733"/>
      <w:bookmarkStart w:id="31" w:name="_Toc432928797"/>
      <w:bookmarkStart w:id="32" w:name="_Toc432928922"/>
      <w:bookmarkStart w:id="33" w:name="_Toc432987567"/>
      <w:bookmarkStart w:id="34" w:name="_Toc433077142"/>
      <w:bookmarkStart w:id="35" w:name="_Toc433080424"/>
      <w:bookmarkStart w:id="36" w:name="_Toc515325877"/>
      <w:bookmarkStart w:id="37" w:name="_Toc14078627"/>
      <w:bookmarkStart w:id="38" w:name="_Toc453575853"/>
      <w:r w:rsidRPr="002E33C8">
        <w:rPr>
          <w:rFonts w:ascii="Arial" w:hAnsi="Arial" w:cs="Arial"/>
        </w:rPr>
        <w:t>Současná situace v oblasti ukládání radioaktivních odpadů</w:t>
      </w:r>
      <w:bookmarkEnd w:id="30"/>
      <w:bookmarkEnd w:id="31"/>
      <w:bookmarkEnd w:id="32"/>
      <w:bookmarkEnd w:id="33"/>
      <w:bookmarkEnd w:id="34"/>
      <w:bookmarkEnd w:id="35"/>
      <w:bookmarkEnd w:id="36"/>
      <w:r w:rsidRPr="002E33C8">
        <w:rPr>
          <w:rFonts w:ascii="Arial" w:hAnsi="Arial" w:cs="Arial"/>
        </w:rPr>
        <w:t xml:space="preserve"> (RAO)</w:t>
      </w:r>
      <w:bookmarkEnd w:id="37"/>
      <w:bookmarkEnd w:id="38"/>
    </w:p>
    <w:p w:rsidR="00DA0B00" w:rsidRPr="002E33C8" w:rsidRDefault="00DA0B00" w:rsidP="00DA0B00">
      <w:pPr>
        <w:ind w:firstLine="708"/>
        <w:rPr>
          <w:rFonts w:ascii="Arial" w:hAnsi="Arial" w:cs="Arial"/>
        </w:rPr>
      </w:pPr>
    </w:p>
    <w:p w:rsidR="00DA0B00" w:rsidRPr="002E33C8" w:rsidRDefault="00DA0B00" w:rsidP="00DA0B00">
      <w:pPr>
        <w:ind w:firstLine="708"/>
        <w:rPr>
          <w:rFonts w:ascii="Arial" w:hAnsi="Arial" w:cs="Arial"/>
        </w:rPr>
      </w:pPr>
      <w:r>
        <w:rPr>
          <w:rFonts w:ascii="Arial" w:hAnsi="Arial" w:cs="Arial"/>
        </w:rPr>
        <w:t>N</w:t>
      </w:r>
      <w:r w:rsidRPr="002E33C8">
        <w:rPr>
          <w:rFonts w:ascii="Arial" w:hAnsi="Arial" w:cs="Arial"/>
        </w:rPr>
        <w:t>ízko a středně</w:t>
      </w:r>
      <w:r>
        <w:rPr>
          <w:rFonts w:ascii="Arial" w:hAnsi="Arial" w:cs="Arial"/>
        </w:rPr>
        <w:t xml:space="preserve"> </w:t>
      </w:r>
      <w:r w:rsidRPr="002E33C8">
        <w:rPr>
          <w:rFonts w:ascii="Arial" w:hAnsi="Arial" w:cs="Arial"/>
        </w:rPr>
        <w:t>aktivní odpady (</w:t>
      </w:r>
      <w:r>
        <w:rPr>
          <w:rFonts w:ascii="Arial" w:hAnsi="Arial" w:cs="Arial"/>
        </w:rPr>
        <w:t>NSR</w:t>
      </w:r>
      <w:r w:rsidRPr="002E33C8">
        <w:rPr>
          <w:rFonts w:ascii="Arial" w:hAnsi="Arial" w:cs="Arial"/>
        </w:rPr>
        <w:t>AO) tvoří objemově nejrozsáhlejší třídu. Vznikají v kapalné či pevné formě při provozu a</w:t>
      </w:r>
      <w:r>
        <w:rPr>
          <w:rFonts w:ascii="Arial" w:hAnsi="Arial" w:cs="Arial"/>
        </w:rPr>
        <w:t> </w:t>
      </w:r>
      <w:r w:rsidRPr="002E33C8">
        <w:rPr>
          <w:rFonts w:ascii="Arial" w:hAnsi="Arial" w:cs="Arial"/>
        </w:rPr>
        <w:t xml:space="preserve">vyřazování jaderných reaktorů a při nakládání se zdroji ionizujícího záření. </w:t>
      </w:r>
      <w:r>
        <w:rPr>
          <w:rFonts w:ascii="Arial" w:hAnsi="Arial" w:cs="Arial"/>
        </w:rPr>
        <w:t>Radiotoxicita těchto radioaktivních odpadů významně klesá</w:t>
      </w:r>
      <w:r w:rsidRPr="002E33C8">
        <w:rPr>
          <w:rFonts w:ascii="Arial" w:hAnsi="Arial" w:cs="Arial"/>
        </w:rPr>
        <w:t xml:space="preserve"> během několika set let, a proto je lze ukládat do přípovrchových úložišť</w:t>
      </w:r>
      <w:r>
        <w:rPr>
          <w:rFonts w:ascii="Arial" w:hAnsi="Arial" w:cs="Arial"/>
        </w:rPr>
        <w:t xml:space="preserve"> (ÚRAO)</w:t>
      </w:r>
      <w:r w:rsidRPr="002E33C8">
        <w:rPr>
          <w:rFonts w:ascii="Arial" w:hAnsi="Arial" w:cs="Arial"/>
        </w:rPr>
        <w:t xml:space="preserve">. Technologie jejich zpracování a úpravy před uložením jsou dostatečně propracované a jsou v ČR zavedeny. </w:t>
      </w:r>
    </w:p>
    <w:p w:rsidR="00DA0B00" w:rsidRPr="002E33C8" w:rsidRDefault="00DA0B00" w:rsidP="00DA0B00">
      <w:pPr>
        <w:ind w:firstLine="708"/>
        <w:rPr>
          <w:rFonts w:ascii="Arial" w:hAnsi="Arial" w:cs="Arial"/>
        </w:rPr>
      </w:pPr>
      <w:r w:rsidRPr="002E33C8">
        <w:rPr>
          <w:rFonts w:ascii="Arial" w:hAnsi="Arial" w:cs="Arial"/>
        </w:rPr>
        <w:t>N</w:t>
      </w:r>
      <w:r>
        <w:rPr>
          <w:rFonts w:ascii="Arial" w:hAnsi="Arial" w:cs="Arial"/>
        </w:rPr>
        <w:t>SR</w:t>
      </w:r>
      <w:r w:rsidRPr="002E33C8">
        <w:rPr>
          <w:rFonts w:ascii="Arial" w:hAnsi="Arial" w:cs="Arial"/>
        </w:rPr>
        <w:t>AO z jaderné energetiky jsou ukládány v povrchovém úložišti v areálu jaderné elektrárny Dukovany. Celkový objem úložných prostor 55 000 m</w:t>
      </w:r>
      <w:r w:rsidRPr="002E33C8">
        <w:rPr>
          <w:rFonts w:ascii="Arial" w:hAnsi="Arial" w:cs="Arial"/>
          <w:vertAlign w:val="superscript"/>
        </w:rPr>
        <w:t>3</w:t>
      </w:r>
      <w:r w:rsidRPr="002E33C8">
        <w:rPr>
          <w:rFonts w:ascii="Arial" w:hAnsi="Arial" w:cs="Arial"/>
        </w:rPr>
        <w:t xml:space="preserve"> (asi 180 000 sudů) je dostatečný k přijmutí všech odpadů z elektráren Dukovany i</w:t>
      </w:r>
      <w:r>
        <w:rPr>
          <w:rFonts w:ascii="Arial" w:hAnsi="Arial" w:cs="Arial"/>
        </w:rPr>
        <w:t> </w:t>
      </w:r>
      <w:r w:rsidRPr="002E33C8">
        <w:rPr>
          <w:rFonts w:ascii="Arial" w:hAnsi="Arial" w:cs="Arial"/>
        </w:rPr>
        <w:t xml:space="preserve">Temelín, které splní podmínky přijatelnosti pro uložení, a to i v případě prodloužení provozu elektráren na </w:t>
      </w:r>
      <w:r>
        <w:rPr>
          <w:rFonts w:ascii="Arial" w:hAnsi="Arial" w:cs="Arial"/>
        </w:rPr>
        <w:t>4</w:t>
      </w:r>
      <w:r w:rsidRPr="002E33C8">
        <w:rPr>
          <w:rFonts w:ascii="Arial" w:hAnsi="Arial" w:cs="Arial"/>
        </w:rPr>
        <w:t xml:space="preserve">0 let. </w:t>
      </w:r>
    </w:p>
    <w:p w:rsidR="00DA0B00" w:rsidRPr="002E33C8" w:rsidRDefault="00DA0B00" w:rsidP="00DA0B00">
      <w:pPr>
        <w:ind w:firstLine="708"/>
        <w:rPr>
          <w:rFonts w:ascii="Arial" w:hAnsi="Arial" w:cs="Arial"/>
        </w:rPr>
      </w:pPr>
      <w:r w:rsidRPr="002E33C8">
        <w:rPr>
          <w:rFonts w:ascii="Arial" w:hAnsi="Arial" w:cs="Arial"/>
        </w:rPr>
        <w:t>Zneškodnění N</w:t>
      </w:r>
      <w:r>
        <w:rPr>
          <w:rFonts w:ascii="Arial" w:hAnsi="Arial" w:cs="Arial"/>
        </w:rPr>
        <w:t>SR</w:t>
      </w:r>
      <w:r w:rsidRPr="002E33C8">
        <w:rPr>
          <w:rFonts w:ascii="Arial" w:hAnsi="Arial" w:cs="Arial"/>
        </w:rPr>
        <w:t>AO z průmyslu, výzkumu a zdravotnictví je zajištěno jejich umísťováním v</w:t>
      </w:r>
      <w:r>
        <w:rPr>
          <w:rFonts w:ascii="Arial" w:hAnsi="Arial" w:cs="Arial"/>
        </w:rPr>
        <w:t xml:space="preserve"> podpovrchových </w:t>
      </w:r>
      <w:r w:rsidRPr="002E33C8">
        <w:rPr>
          <w:rFonts w:ascii="Arial" w:hAnsi="Arial" w:cs="Arial"/>
        </w:rPr>
        <w:t>úložištích Richard (u Litoměřic) a Bratrství (u</w:t>
      </w:r>
      <w:r>
        <w:rPr>
          <w:rFonts w:ascii="Arial" w:hAnsi="Arial" w:cs="Arial"/>
        </w:rPr>
        <w:t> </w:t>
      </w:r>
      <w:r w:rsidRPr="002E33C8">
        <w:rPr>
          <w:rFonts w:ascii="Arial" w:hAnsi="Arial" w:cs="Arial"/>
        </w:rPr>
        <w:t xml:space="preserve">Jáchymova), částečně může být využita i kapacita ÚRAO Dukovany. </w:t>
      </w:r>
    </w:p>
    <w:p w:rsidR="00DA0B00" w:rsidRPr="002E33C8" w:rsidRDefault="00DA0B00" w:rsidP="00DA0B00">
      <w:pPr>
        <w:ind w:firstLine="708"/>
        <w:rPr>
          <w:rFonts w:ascii="Arial" w:hAnsi="Arial" w:cs="Arial"/>
        </w:rPr>
      </w:pPr>
      <w:r>
        <w:rPr>
          <w:rFonts w:ascii="Arial" w:hAnsi="Arial" w:cs="Arial"/>
        </w:rPr>
        <w:t>Podpovrchové ú</w:t>
      </w:r>
      <w:r w:rsidRPr="002E33C8">
        <w:rPr>
          <w:rFonts w:ascii="Arial" w:hAnsi="Arial" w:cs="Arial"/>
        </w:rPr>
        <w:t>ložiště Richard je vybudováno v komplexu bývalého vápencového dolu Richard II (pod vrchem Bídnice). Od roku 1964 se v něm ukládají institucionální odpady. Celkový objem upravených podzemních prostor přesahuje 17 000 m</w:t>
      </w:r>
      <w:r w:rsidRPr="002E33C8">
        <w:rPr>
          <w:rFonts w:ascii="Arial" w:hAnsi="Arial" w:cs="Arial"/>
          <w:vertAlign w:val="superscript"/>
        </w:rPr>
        <w:t>3</w:t>
      </w:r>
      <w:r w:rsidRPr="002E33C8">
        <w:rPr>
          <w:rFonts w:ascii="Arial" w:hAnsi="Arial" w:cs="Arial"/>
        </w:rPr>
        <w:t xml:space="preserve">, kapacita pro ukládání odpadu je přibližně poloviční (zbytek tvoří obslužné chodby). Na základě poznatků získaných z hydrogeologického, inženýrsko-geologického, geotechnického a seismického průzkumu, stavebních expertíz a stavu uložených obalových </w:t>
      </w:r>
      <w:r w:rsidR="00A81DD2">
        <w:rPr>
          <w:rFonts w:ascii="Arial" w:hAnsi="Arial" w:cs="Arial"/>
        </w:rPr>
        <w:t>souborů</w:t>
      </w:r>
      <w:r w:rsidRPr="002E33C8">
        <w:rPr>
          <w:rFonts w:ascii="Arial" w:hAnsi="Arial" w:cs="Arial"/>
        </w:rPr>
        <w:t xml:space="preserve"> lze konstatovat, že v celé lokalitě jsou dlouhodobě plněny veškeré požadavky radiační ochrany</w:t>
      </w:r>
      <w:r w:rsidR="00A81DD2">
        <w:rPr>
          <w:rFonts w:ascii="Arial" w:hAnsi="Arial" w:cs="Arial"/>
        </w:rPr>
        <w:t>,</w:t>
      </w:r>
      <w:r w:rsidRPr="002E33C8">
        <w:rPr>
          <w:rFonts w:ascii="Arial" w:hAnsi="Arial" w:cs="Arial"/>
        </w:rPr>
        <w:t xml:space="preserve"> jaderné </w:t>
      </w:r>
      <w:r w:rsidR="00A81DD2">
        <w:rPr>
          <w:rFonts w:ascii="Arial" w:hAnsi="Arial" w:cs="Arial"/>
        </w:rPr>
        <w:t xml:space="preserve">a báňské </w:t>
      </w:r>
      <w:r w:rsidRPr="002E33C8">
        <w:rPr>
          <w:rFonts w:ascii="Arial" w:hAnsi="Arial" w:cs="Arial"/>
        </w:rPr>
        <w:t>bezpečnosti.</w:t>
      </w:r>
    </w:p>
    <w:p w:rsidR="00DA0B00" w:rsidRPr="002E33C8" w:rsidRDefault="00DA0B00" w:rsidP="00DA0B00">
      <w:pPr>
        <w:ind w:firstLine="708"/>
        <w:rPr>
          <w:rFonts w:ascii="Arial" w:hAnsi="Arial" w:cs="Arial"/>
        </w:rPr>
      </w:pPr>
      <w:r>
        <w:rPr>
          <w:rFonts w:ascii="Arial" w:hAnsi="Arial" w:cs="Arial"/>
        </w:rPr>
        <w:t>Podpovrchové ú</w:t>
      </w:r>
      <w:r w:rsidRPr="002E33C8">
        <w:rPr>
          <w:rFonts w:ascii="Arial" w:hAnsi="Arial" w:cs="Arial"/>
        </w:rPr>
        <w:t>ložiště Bratrství je určeno výhradně k umístění odpadů s</w:t>
      </w:r>
      <w:r>
        <w:rPr>
          <w:rFonts w:ascii="Arial" w:hAnsi="Arial" w:cs="Arial"/>
        </w:rPr>
        <w:t> </w:t>
      </w:r>
      <w:r w:rsidRPr="002E33C8">
        <w:rPr>
          <w:rFonts w:ascii="Arial" w:hAnsi="Arial" w:cs="Arial"/>
        </w:rPr>
        <w:t>přírodními radionuklidy. Vzniklo adaptací těžní štoly bývalého uranového dolu, kde bylo pro ukládání upraveno 5 komor o celkovém objemu přibližně 1 200 m</w:t>
      </w:r>
      <w:r w:rsidRPr="002E33C8">
        <w:rPr>
          <w:rFonts w:ascii="Arial" w:hAnsi="Arial" w:cs="Arial"/>
          <w:vertAlign w:val="superscript"/>
        </w:rPr>
        <w:t>3</w:t>
      </w:r>
      <w:r w:rsidRPr="002E33C8">
        <w:rPr>
          <w:rFonts w:ascii="Arial" w:hAnsi="Arial" w:cs="Arial"/>
        </w:rPr>
        <w:t>. Do provozu bylo uvedeno v roce 1974. Úložiště je situováno v</w:t>
      </w:r>
      <w:r>
        <w:rPr>
          <w:rFonts w:ascii="Arial" w:hAnsi="Arial" w:cs="Arial"/>
        </w:rPr>
        <w:t> </w:t>
      </w:r>
      <w:r w:rsidRPr="002E33C8">
        <w:rPr>
          <w:rFonts w:ascii="Arial" w:hAnsi="Arial" w:cs="Arial"/>
        </w:rPr>
        <w:t>krystaliniku</w:t>
      </w:r>
      <w:r>
        <w:rPr>
          <w:rFonts w:ascii="Arial" w:hAnsi="Arial" w:cs="Arial"/>
        </w:rPr>
        <w:t>.</w:t>
      </w:r>
      <w:r w:rsidRPr="002E33C8">
        <w:rPr>
          <w:rFonts w:ascii="Arial" w:hAnsi="Arial" w:cs="Arial"/>
        </w:rPr>
        <w:t xml:space="preserve"> </w:t>
      </w:r>
      <w:r>
        <w:rPr>
          <w:rFonts w:ascii="Arial" w:hAnsi="Arial" w:cs="Arial"/>
        </w:rPr>
        <w:t>V </w:t>
      </w:r>
      <w:r w:rsidRPr="002E33C8">
        <w:rPr>
          <w:rFonts w:ascii="Arial" w:hAnsi="Arial" w:cs="Arial"/>
        </w:rPr>
        <w:t xml:space="preserve">okolí úložných prostor </w:t>
      </w:r>
      <w:r>
        <w:rPr>
          <w:rFonts w:ascii="Arial" w:hAnsi="Arial" w:cs="Arial"/>
        </w:rPr>
        <w:t xml:space="preserve">je </w:t>
      </w:r>
      <w:r w:rsidRPr="002E33C8">
        <w:rPr>
          <w:rFonts w:ascii="Arial" w:hAnsi="Arial" w:cs="Arial"/>
        </w:rPr>
        <w:t>vybudován drenážní systém</w:t>
      </w:r>
      <w:r>
        <w:rPr>
          <w:rFonts w:ascii="Arial" w:hAnsi="Arial" w:cs="Arial"/>
        </w:rPr>
        <w:t xml:space="preserve"> a o</w:t>
      </w:r>
      <w:r w:rsidRPr="002E33C8">
        <w:rPr>
          <w:rFonts w:ascii="Arial" w:hAnsi="Arial" w:cs="Arial"/>
        </w:rPr>
        <w:t>dváděné vody jsou monitorovány. Dlouhodobá bezpečnost úložiště byla prokázána bezpečnostní</w:t>
      </w:r>
      <w:r>
        <w:rPr>
          <w:rFonts w:ascii="Arial" w:hAnsi="Arial" w:cs="Arial"/>
        </w:rPr>
        <w:t>mi</w:t>
      </w:r>
      <w:r w:rsidRPr="002E33C8">
        <w:rPr>
          <w:rFonts w:ascii="Arial" w:hAnsi="Arial" w:cs="Arial"/>
        </w:rPr>
        <w:t xml:space="preserve"> </w:t>
      </w:r>
      <w:r>
        <w:rPr>
          <w:rFonts w:ascii="Arial" w:hAnsi="Arial" w:cs="Arial"/>
        </w:rPr>
        <w:t>rozbory</w:t>
      </w:r>
      <w:r w:rsidRPr="002E33C8">
        <w:rPr>
          <w:rFonts w:ascii="Arial" w:hAnsi="Arial" w:cs="Arial"/>
        </w:rPr>
        <w:t>.</w:t>
      </w:r>
    </w:p>
    <w:p w:rsidR="00DA0B00" w:rsidRPr="002E33C8" w:rsidRDefault="00DA0B00" w:rsidP="00DA0B00">
      <w:pPr>
        <w:ind w:firstLine="708"/>
        <w:rPr>
          <w:rFonts w:ascii="Arial" w:hAnsi="Arial" w:cs="Arial"/>
        </w:rPr>
      </w:pPr>
      <w:r w:rsidRPr="002E33C8">
        <w:rPr>
          <w:rFonts w:ascii="Arial" w:hAnsi="Arial" w:cs="Arial"/>
        </w:rPr>
        <w:t xml:space="preserve">Provoz všech úložišť včetně monitorování již uzavřeného úložiště Hostim je zajišťován Správou v souladu s příslušnými povoleními </w:t>
      </w:r>
      <w:r>
        <w:rPr>
          <w:rFonts w:ascii="Arial" w:hAnsi="Arial" w:cs="Arial"/>
        </w:rPr>
        <w:t>Státního úřadu pro jadernou bezpečnost (</w:t>
      </w:r>
      <w:r w:rsidRPr="002E33C8">
        <w:rPr>
          <w:rFonts w:ascii="Arial" w:hAnsi="Arial" w:cs="Arial"/>
        </w:rPr>
        <w:t>SÚJB</w:t>
      </w:r>
      <w:r>
        <w:rPr>
          <w:rFonts w:ascii="Arial" w:hAnsi="Arial" w:cs="Arial"/>
        </w:rPr>
        <w:t>)</w:t>
      </w:r>
      <w:r w:rsidRPr="002E33C8">
        <w:rPr>
          <w:rFonts w:ascii="Arial" w:hAnsi="Arial" w:cs="Arial"/>
        </w:rPr>
        <w:t xml:space="preserve">, v případě důlních děl i v souladu s oprávněními a povoleními podle báňských předpisů. </w:t>
      </w:r>
    </w:p>
    <w:p w:rsidR="00DA0B00" w:rsidRDefault="00DA0B00" w:rsidP="00DA0B00">
      <w:pPr>
        <w:ind w:firstLine="708"/>
        <w:rPr>
          <w:rFonts w:ascii="Arial" w:hAnsi="Arial" w:cs="Arial"/>
        </w:rPr>
      </w:pPr>
      <w:r w:rsidRPr="00743C5C">
        <w:rPr>
          <w:rFonts w:ascii="Arial" w:hAnsi="Arial" w:cs="Arial"/>
        </w:rPr>
        <w:t xml:space="preserve">Kapacita úložiště Richard by při stávající produkci RAO byla dostatečná ve výhledu </w:t>
      </w:r>
      <w:r>
        <w:rPr>
          <w:rFonts w:ascii="Arial" w:hAnsi="Arial" w:cs="Arial"/>
        </w:rPr>
        <w:t xml:space="preserve">cca </w:t>
      </w:r>
      <w:r w:rsidRPr="00743C5C">
        <w:rPr>
          <w:rFonts w:ascii="Arial" w:hAnsi="Arial" w:cs="Arial"/>
        </w:rPr>
        <w:t>deseti let. Ze strany p</w:t>
      </w:r>
      <w:r w:rsidR="00AE2636">
        <w:rPr>
          <w:rFonts w:ascii="Arial" w:hAnsi="Arial" w:cs="Arial"/>
        </w:rPr>
        <w:t>ůvodců</w:t>
      </w:r>
      <w:r w:rsidRPr="00743C5C">
        <w:rPr>
          <w:rFonts w:ascii="Arial" w:hAnsi="Arial" w:cs="Arial"/>
        </w:rPr>
        <w:t xml:space="preserve"> byla oznámena zvýšená produkce v</w:t>
      </w:r>
      <w:r>
        <w:rPr>
          <w:rFonts w:ascii="Arial" w:hAnsi="Arial" w:cs="Arial"/>
        </w:rPr>
        <w:t> </w:t>
      </w:r>
      <w:r w:rsidRPr="00743C5C">
        <w:rPr>
          <w:rFonts w:ascii="Arial" w:hAnsi="Arial" w:cs="Arial"/>
        </w:rPr>
        <w:t xml:space="preserve">důsledku </w:t>
      </w:r>
      <w:r>
        <w:rPr>
          <w:rFonts w:ascii="Arial" w:hAnsi="Arial" w:cs="Arial"/>
        </w:rPr>
        <w:t>likvidace</w:t>
      </w:r>
      <w:r w:rsidRPr="00743C5C">
        <w:rPr>
          <w:rFonts w:ascii="Arial" w:hAnsi="Arial" w:cs="Arial"/>
        </w:rPr>
        <w:t xml:space="preserve"> starých ekologických zátěží. Proto je nutno přijmout odpovídající</w:t>
      </w:r>
      <w:r w:rsidRPr="002E33C8">
        <w:rPr>
          <w:rFonts w:ascii="Arial" w:hAnsi="Arial" w:cs="Arial"/>
        </w:rPr>
        <w:t xml:space="preserve"> opatření. </w:t>
      </w:r>
      <w:r w:rsidRPr="00414D62">
        <w:rPr>
          <w:rFonts w:ascii="Arial" w:hAnsi="Arial" w:cs="Arial"/>
        </w:rPr>
        <w:t xml:space="preserve">V případě, že návrh rekonstrukce ÚRAO Richard </w:t>
      </w:r>
      <w:r>
        <w:rPr>
          <w:rFonts w:ascii="Arial" w:hAnsi="Arial" w:cs="Arial"/>
        </w:rPr>
        <w:t>vyhoví příslušným požadavkům v procesu</w:t>
      </w:r>
      <w:r w:rsidRPr="00414D62">
        <w:rPr>
          <w:rFonts w:ascii="Arial" w:hAnsi="Arial" w:cs="Arial"/>
        </w:rPr>
        <w:t xml:space="preserve"> posouz</w:t>
      </w:r>
      <w:r w:rsidR="00E56AC3">
        <w:rPr>
          <w:rFonts w:ascii="Arial" w:hAnsi="Arial" w:cs="Arial"/>
        </w:rPr>
        <w:t xml:space="preserve">ení z hlediska radiační ochrany, </w:t>
      </w:r>
      <w:r w:rsidRPr="00414D62">
        <w:rPr>
          <w:rFonts w:ascii="Arial" w:hAnsi="Arial" w:cs="Arial"/>
        </w:rPr>
        <w:t xml:space="preserve">jaderné </w:t>
      </w:r>
      <w:r w:rsidR="00E56AC3">
        <w:rPr>
          <w:rFonts w:ascii="Arial" w:hAnsi="Arial" w:cs="Arial"/>
        </w:rPr>
        <w:t xml:space="preserve">a báňské </w:t>
      </w:r>
      <w:r w:rsidRPr="00414D62">
        <w:rPr>
          <w:rFonts w:ascii="Arial" w:hAnsi="Arial" w:cs="Arial"/>
        </w:rPr>
        <w:t xml:space="preserve">bezpečnosti a budou vydána příslušná povolení SÚJB a báňského úřadu, přistoupí </w:t>
      </w:r>
      <w:r>
        <w:rPr>
          <w:rFonts w:ascii="Arial" w:hAnsi="Arial" w:cs="Arial"/>
        </w:rPr>
        <w:t>Správa</w:t>
      </w:r>
      <w:r w:rsidRPr="00414D62">
        <w:rPr>
          <w:rFonts w:ascii="Arial" w:hAnsi="Arial" w:cs="Arial"/>
        </w:rPr>
        <w:t xml:space="preserve"> k</w:t>
      </w:r>
      <w:r>
        <w:rPr>
          <w:rFonts w:ascii="Arial" w:hAnsi="Arial" w:cs="Arial"/>
        </w:rPr>
        <w:t> </w:t>
      </w:r>
      <w:r w:rsidRPr="00414D62">
        <w:rPr>
          <w:rFonts w:ascii="Arial" w:hAnsi="Arial" w:cs="Arial"/>
        </w:rPr>
        <w:t>rekonstrukci úložiště</w:t>
      </w:r>
      <w:r>
        <w:rPr>
          <w:rFonts w:ascii="Arial" w:hAnsi="Arial" w:cs="Arial"/>
        </w:rPr>
        <w:t xml:space="preserve"> a zvýšení jeho kapacity</w:t>
      </w:r>
      <w:r w:rsidRPr="00414D62">
        <w:rPr>
          <w:rFonts w:ascii="Arial" w:hAnsi="Arial" w:cs="Arial"/>
        </w:rPr>
        <w:t>, případně i k možnosti ukládání RAO obsahujících přírodní radionuklidy.</w:t>
      </w:r>
      <w:r>
        <w:rPr>
          <w:rFonts w:ascii="Arial" w:hAnsi="Arial" w:cs="Arial"/>
        </w:rPr>
        <w:t xml:space="preserve"> V případě, že ukládání RAO s přírodními radionuklidy nebude v tomto úložišti povoleno, bude zajištěno jejich skladování do doby zprovoznění hlubinného úložiště (HÚ).</w:t>
      </w:r>
    </w:p>
    <w:p w:rsidR="00DA0B00" w:rsidRPr="002E33C8" w:rsidRDefault="00DA0B00" w:rsidP="00DA0B00">
      <w:pPr>
        <w:ind w:firstLine="708"/>
        <w:rPr>
          <w:rFonts w:ascii="Arial" w:hAnsi="Arial" w:cs="Arial"/>
        </w:rPr>
      </w:pPr>
      <w:r w:rsidRPr="002E33C8">
        <w:rPr>
          <w:rFonts w:ascii="Arial" w:hAnsi="Arial" w:cs="Arial"/>
        </w:rPr>
        <w:t>Kapacita úložiště Bratrství je v současné době vyčerpána z</w:t>
      </w:r>
      <w:r w:rsidR="003624EB">
        <w:rPr>
          <w:rFonts w:ascii="Arial" w:hAnsi="Arial" w:cs="Arial"/>
        </w:rPr>
        <w:t> </w:t>
      </w:r>
      <w:r w:rsidRPr="002E33C8">
        <w:rPr>
          <w:rFonts w:ascii="Arial" w:hAnsi="Arial" w:cs="Arial"/>
        </w:rPr>
        <w:t>90</w:t>
      </w:r>
      <w:r w:rsidR="003624EB">
        <w:rPr>
          <w:rFonts w:ascii="Arial" w:hAnsi="Arial" w:cs="Arial"/>
        </w:rPr>
        <w:t> </w:t>
      </w:r>
      <w:r w:rsidRPr="002E33C8">
        <w:rPr>
          <w:rFonts w:ascii="Arial" w:hAnsi="Arial" w:cs="Arial"/>
        </w:rPr>
        <w:t>%. Tato skutečnost vyvolává potřebu řešení proces</w:t>
      </w:r>
      <w:r>
        <w:rPr>
          <w:rFonts w:ascii="Arial" w:hAnsi="Arial" w:cs="Arial"/>
        </w:rPr>
        <w:t>u</w:t>
      </w:r>
      <w:r w:rsidRPr="002E33C8">
        <w:rPr>
          <w:rFonts w:ascii="Arial" w:hAnsi="Arial" w:cs="Arial"/>
        </w:rPr>
        <w:t xml:space="preserve"> </w:t>
      </w:r>
      <w:r>
        <w:rPr>
          <w:rFonts w:ascii="Arial" w:hAnsi="Arial" w:cs="Arial"/>
        </w:rPr>
        <w:t xml:space="preserve">ukončení provozu a </w:t>
      </w:r>
      <w:r w:rsidRPr="002E33C8">
        <w:rPr>
          <w:rFonts w:ascii="Arial" w:hAnsi="Arial" w:cs="Arial"/>
        </w:rPr>
        <w:t>uzavírání úložiště. Neméně významná je otázka výběru náhradních prostor pro ukládání RAO s</w:t>
      </w:r>
      <w:r>
        <w:rPr>
          <w:rFonts w:ascii="Arial" w:hAnsi="Arial" w:cs="Arial"/>
        </w:rPr>
        <w:t> </w:t>
      </w:r>
      <w:r w:rsidRPr="002E33C8">
        <w:rPr>
          <w:rFonts w:ascii="Arial" w:hAnsi="Arial" w:cs="Arial"/>
        </w:rPr>
        <w:t xml:space="preserve">obsahem přírodních radionuklidů. </w:t>
      </w:r>
      <w:r>
        <w:rPr>
          <w:rFonts w:ascii="Arial" w:hAnsi="Arial" w:cs="Arial"/>
        </w:rPr>
        <w:t xml:space="preserve">Předpokládá se využití prostor v </w:t>
      </w:r>
      <w:r w:rsidRPr="002E33C8">
        <w:rPr>
          <w:rFonts w:ascii="Arial" w:hAnsi="Arial" w:cs="Arial"/>
        </w:rPr>
        <w:t>ÚRAO Richard</w:t>
      </w:r>
      <w:r>
        <w:rPr>
          <w:rFonts w:ascii="Arial" w:hAnsi="Arial" w:cs="Arial"/>
        </w:rPr>
        <w:t>, speciálně k tomuto účelu vymezených a oddělených od úložných komor ostatních institucionálních RAO.</w:t>
      </w:r>
    </w:p>
    <w:p w:rsidR="00DA0B00" w:rsidRPr="002E33C8" w:rsidRDefault="00DA0B00" w:rsidP="00DA0B00">
      <w:pPr>
        <w:ind w:firstLine="708"/>
        <w:rPr>
          <w:rFonts w:ascii="Arial" w:hAnsi="Arial" w:cs="Arial"/>
        </w:rPr>
      </w:pPr>
      <w:r w:rsidRPr="002E33C8">
        <w:rPr>
          <w:rFonts w:ascii="Arial" w:hAnsi="Arial" w:cs="Arial"/>
        </w:rPr>
        <w:t>V menší míře vznikají dlouhodobé N</w:t>
      </w:r>
      <w:r>
        <w:rPr>
          <w:rFonts w:ascii="Arial" w:hAnsi="Arial" w:cs="Arial"/>
        </w:rPr>
        <w:t>SR</w:t>
      </w:r>
      <w:r w:rsidRPr="002E33C8">
        <w:rPr>
          <w:rFonts w:ascii="Arial" w:hAnsi="Arial" w:cs="Arial"/>
        </w:rPr>
        <w:t>AO, které nejsou přijatelné k</w:t>
      </w:r>
      <w:r>
        <w:rPr>
          <w:rFonts w:ascii="Arial" w:hAnsi="Arial" w:cs="Arial"/>
        </w:rPr>
        <w:t> </w:t>
      </w:r>
      <w:r w:rsidRPr="002E33C8">
        <w:rPr>
          <w:rFonts w:ascii="Arial" w:hAnsi="Arial" w:cs="Arial"/>
        </w:rPr>
        <w:t>uložení do provozovaných přípovrchových úložišť. Pro tyto odpady jsou určeny požadavky na způsob a kvalitu jejich úpravy pro skladování a následné uložení v</w:t>
      </w:r>
      <w:r>
        <w:rPr>
          <w:rFonts w:ascii="Arial" w:hAnsi="Arial" w:cs="Arial"/>
        </w:rPr>
        <w:t> HÚ</w:t>
      </w:r>
      <w:r w:rsidRPr="002E33C8">
        <w:rPr>
          <w:rFonts w:ascii="Arial" w:hAnsi="Arial" w:cs="Arial"/>
        </w:rPr>
        <w:t>. Tyto odpady skladují jak jejich původci, tak i Správa.</w:t>
      </w:r>
    </w:p>
    <w:p w:rsidR="00DA0B00" w:rsidRPr="002803C3" w:rsidRDefault="00DA0B00" w:rsidP="00DA0B00">
      <w:pPr>
        <w:ind w:firstLine="708"/>
        <w:rPr>
          <w:rFonts w:ascii="Arial" w:hAnsi="Arial" w:cs="Arial"/>
        </w:rPr>
      </w:pPr>
      <w:r w:rsidRPr="002E33C8">
        <w:rPr>
          <w:rFonts w:ascii="Arial" w:hAnsi="Arial" w:cs="Arial"/>
        </w:rPr>
        <w:t>Vyso</w:t>
      </w:r>
      <w:r>
        <w:rPr>
          <w:rFonts w:ascii="Arial" w:hAnsi="Arial" w:cs="Arial"/>
        </w:rPr>
        <w:t>ko</w:t>
      </w:r>
      <w:r w:rsidRPr="002E33C8">
        <w:rPr>
          <w:rFonts w:ascii="Arial" w:hAnsi="Arial" w:cs="Arial"/>
        </w:rPr>
        <w:t xml:space="preserve">aktivní odpady (VAO) a </w:t>
      </w:r>
      <w:r>
        <w:rPr>
          <w:rFonts w:ascii="Arial" w:hAnsi="Arial" w:cs="Arial"/>
        </w:rPr>
        <w:t>vyhořelé jaderné palivo (VJP)</w:t>
      </w:r>
      <w:r w:rsidRPr="002E33C8">
        <w:rPr>
          <w:rFonts w:ascii="Arial" w:hAnsi="Arial" w:cs="Arial"/>
        </w:rPr>
        <w:t xml:space="preserve"> po jeho prohlášení za odpad nelze ukládat ve stávajících úložištích, konečné zneškodnění se předpokládá jejich uložením </w:t>
      </w:r>
      <w:r>
        <w:rPr>
          <w:rFonts w:ascii="Arial" w:hAnsi="Arial" w:cs="Arial"/>
        </w:rPr>
        <w:t xml:space="preserve">do </w:t>
      </w:r>
      <w:r w:rsidRPr="002E33C8">
        <w:rPr>
          <w:rFonts w:ascii="Arial" w:hAnsi="Arial" w:cs="Arial"/>
        </w:rPr>
        <w:t xml:space="preserve">HÚ. Do doby zprovoznění HÚ jsou tyto odpady skladovány u </w:t>
      </w:r>
      <w:r>
        <w:rPr>
          <w:rFonts w:ascii="Arial" w:hAnsi="Arial" w:cs="Arial"/>
        </w:rPr>
        <w:t>držitelů povolení SÚJB ke skladování RAO</w:t>
      </w:r>
      <w:r w:rsidRPr="002E33C8">
        <w:rPr>
          <w:rFonts w:ascii="Arial" w:hAnsi="Arial" w:cs="Arial"/>
        </w:rPr>
        <w:t xml:space="preserve">. </w:t>
      </w:r>
      <w:r>
        <w:rPr>
          <w:rFonts w:ascii="Arial" w:hAnsi="Arial" w:cs="Arial"/>
        </w:rPr>
        <w:t xml:space="preserve">Aktualizace </w:t>
      </w:r>
      <w:r w:rsidRPr="002E33C8">
        <w:rPr>
          <w:rFonts w:ascii="Arial" w:hAnsi="Arial" w:cs="Arial"/>
        </w:rPr>
        <w:t>Koncepce nakládání s RAO a VJP</w:t>
      </w:r>
      <w:r>
        <w:rPr>
          <w:rFonts w:ascii="Arial" w:hAnsi="Arial" w:cs="Arial"/>
        </w:rPr>
        <w:t xml:space="preserve"> </w:t>
      </w:r>
      <w:r w:rsidRPr="002E33C8">
        <w:rPr>
          <w:rFonts w:ascii="Arial" w:hAnsi="Arial" w:cs="Arial"/>
        </w:rPr>
        <w:t>v ČR ukládá zařadit dvě kandidátní lokality pro HÚ do územních plánů do roku 20</w:t>
      </w:r>
      <w:r>
        <w:rPr>
          <w:rFonts w:ascii="Arial" w:hAnsi="Arial" w:cs="Arial"/>
        </w:rPr>
        <w:t>20</w:t>
      </w:r>
      <w:r w:rsidRPr="002E33C8">
        <w:rPr>
          <w:rFonts w:ascii="Arial" w:hAnsi="Arial" w:cs="Arial"/>
        </w:rPr>
        <w:t xml:space="preserve">. </w:t>
      </w:r>
    </w:p>
    <w:p w:rsidR="00DA0B00" w:rsidRPr="002E33C8" w:rsidRDefault="00DA0B00" w:rsidP="00DA0B00">
      <w:pPr>
        <w:ind w:firstLine="708"/>
        <w:rPr>
          <w:rFonts w:ascii="Arial" w:hAnsi="Arial" w:cs="Arial"/>
        </w:rPr>
      </w:pPr>
      <w:r w:rsidRPr="00BA3D2E">
        <w:rPr>
          <w:rFonts w:ascii="Arial" w:hAnsi="Arial" w:cs="Arial"/>
        </w:rPr>
        <w:t>V minulých letech bylo po celkovém hodnocení území ČR navrženo a předběžně posouzeno 7 lokalit.</w:t>
      </w:r>
      <w:r w:rsidRPr="00BA3D2E">
        <w:t xml:space="preserve"> </w:t>
      </w:r>
      <w:r w:rsidRPr="00BA3D2E">
        <w:rPr>
          <w:rFonts w:ascii="Arial" w:hAnsi="Arial" w:cs="Arial"/>
        </w:rPr>
        <w:t>Problematika úložišť byla začleněna do Politiky územního rozvoje ČR 2008, schválené usnesením vlády ze dne 20. července 2009 č.</w:t>
      </w:r>
      <w:r>
        <w:rPr>
          <w:rFonts w:ascii="Arial" w:hAnsi="Arial" w:cs="Arial"/>
        </w:rPr>
        <w:t> </w:t>
      </w:r>
      <w:r w:rsidRPr="002803C3">
        <w:rPr>
          <w:rFonts w:ascii="Arial" w:hAnsi="Arial" w:cs="Arial"/>
        </w:rPr>
        <w:t xml:space="preserve">929. Ministerstvo průmyslu a obchodu </w:t>
      </w:r>
      <w:r>
        <w:rPr>
          <w:rFonts w:ascii="Arial" w:hAnsi="Arial" w:cs="Arial"/>
        </w:rPr>
        <w:t>spolu</w:t>
      </w:r>
      <w:r w:rsidRPr="002803C3">
        <w:rPr>
          <w:rFonts w:ascii="Arial" w:hAnsi="Arial" w:cs="Arial"/>
        </w:rPr>
        <w:t xml:space="preserve"> se </w:t>
      </w:r>
      <w:r>
        <w:rPr>
          <w:rFonts w:ascii="Arial" w:hAnsi="Arial" w:cs="Arial"/>
        </w:rPr>
        <w:t>Správou</w:t>
      </w:r>
      <w:r w:rsidRPr="002803C3">
        <w:rPr>
          <w:rFonts w:ascii="Arial" w:hAnsi="Arial" w:cs="Arial"/>
        </w:rPr>
        <w:t xml:space="preserve"> splnilo část úkolů vyplývajících z této Politiky a stanovilo podmínky územní ochrany v lokalitách s</w:t>
      </w:r>
      <w:r>
        <w:rPr>
          <w:rFonts w:ascii="Arial" w:hAnsi="Arial" w:cs="Arial"/>
        </w:rPr>
        <w:t> </w:t>
      </w:r>
      <w:r w:rsidRPr="002803C3">
        <w:rPr>
          <w:rFonts w:ascii="Arial" w:hAnsi="Arial" w:cs="Arial"/>
        </w:rPr>
        <w:t xml:space="preserve">vhodnými vlastnostmi pro vybudování úložiště, které v nich budou uplatňovány do doby výběru dvou nejvhodnějších lokalit. </w:t>
      </w:r>
      <w:r w:rsidR="00CB1C08">
        <w:rPr>
          <w:rFonts w:ascii="Arial" w:hAnsi="Arial" w:cs="Arial"/>
        </w:rPr>
        <w:t>Současně platná Politika územního rozvoje ČR, ve znění Aktualizace č. 1 (Aktualizace č. 1 byla schválena usnesením vlády ze dne 15. dubna 2015 č. 276), stanovuje v článku (169) úkol pro MPO a Správu provést nejpozději do roku 2020 výběr dvou kandidátních lokalit za účasti dotčených obcí, a stanovit podmínky jejich územní ochrany, které v nich budou uplatňovány do doby provedení výběru finální lokality.</w:t>
      </w:r>
      <w:r w:rsidRPr="002E33C8">
        <w:rPr>
          <w:rFonts w:ascii="Arial" w:hAnsi="Arial" w:cs="Arial"/>
        </w:rPr>
        <w:t xml:space="preserve"> </w:t>
      </w:r>
      <w:r>
        <w:rPr>
          <w:rFonts w:ascii="Arial" w:hAnsi="Arial" w:cs="Arial"/>
        </w:rPr>
        <w:t>V současné době má Správa platná rozhodnutí o stanovení průzkumného území na všech sedmi lokalitách (Čertovka, Magdaléna, Čihadlo, Horka, Kraví hora, Březový potok a Hrádek).</w:t>
      </w:r>
    </w:p>
    <w:p w:rsidR="00DA0B00" w:rsidRPr="002E33C8" w:rsidRDefault="00DA0B00" w:rsidP="00DA0B00">
      <w:pPr>
        <w:ind w:firstLine="708"/>
        <w:rPr>
          <w:rFonts w:ascii="Arial" w:hAnsi="Arial" w:cs="Arial"/>
        </w:rPr>
      </w:pPr>
      <w:r w:rsidRPr="002E33C8">
        <w:rPr>
          <w:rFonts w:ascii="Arial" w:hAnsi="Arial" w:cs="Arial"/>
        </w:rPr>
        <w:t xml:space="preserve">Dlouhodobou strategii státu v oblasti nakládání s RAO upravuje </w:t>
      </w:r>
      <w:r>
        <w:rPr>
          <w:rFonts w:ascii="Arial" w:hAnsi="Arial" w:cs="Arial"/>
        </w:rPr>
        <w:t xml:space="preserve">aktualizace </w:t>
      </w:r>
      <w:r w:rsidRPr="002E33C8">
        <w:rPr>
          <w:rFonts w:ascii="Arial" w:hAnsi="Arial" w:cs="Arial"/>
        </w:rPr>
        <w:t>Koncepce nakládání s RAO a VJP</w:t>
      </w:r>
      <w:r>
        <w:rPr>
          <w:rFonts w:ascii="Arial" w:hAnsi="Arial" w:cs="Arial"/>
        </w:rPr>
        <w:t xml:space="preserve"> </w:t>
      </w:r>
      <w:r w:rsidRPr="002E33C8">
        <w:rPr>
          <w:rFonts w:ascii="Arial" w:hAnsi="Arial" w:cs="Arial"/>
        </w:rPr>
        <w:t>v ČR (</w:t>
      </w:r>
      <w:r>
        <w:rPr>
          <w:rFonts w:ascii="Arial" w:hAnsi="Arial" w:cs="Arial"/>
        </w:rPr>
        <w:t>vzatá vládou na vědomí</w:t>
      </w:r>
      <w:r w:rsidRPr="002E33C8">
        <w:rPr>
          <w:rFonts w:ascii="Arial" w:hAnsi="Arial" w:cs="Arial"/>
        </w:rPr>
        <w:t xml:space="preserve"> usnesením vlády č.</w:t>
      </w:r>
      <w:r>
        <w:rPr>
          <w:rFonts w:ascii="Arial" w:hAnsi="Arial" w:cs="Arial"/>
        </w:rPr>
        <w:t xml:space="preserve"> 1061 </w:t>
      </w:r>
      <w:r w:rsidRPr="002E33C8">
        <w:rPr>
          <w:rFonts w:ascii="Arial" w:hAnsi="Arial" w:cs="Arial"/>
        </w:rPr>
        <w:t xml:space="preserve">ze dne </w:t>
      </w:r>
      <w:r>
        <w:rPr>
          <w:rFonts w:ascii="Arial" w:hAnsi="Arial" w:cs="Arial"/>
        </w:rPr>
        <w:t>15. 12. 2014</w:t>
      </w:r>
      <w:r w:rsidRPr="002E33C8">
        <w:rPr>
          <w:rFonts w:ascii="Arial" w:hAnsi="Arial" w:cs="Arial"/>
        </w:rPr>
        <w:t xml:space="preserve">). Koncepce ukládá připravovat </w:t>
      </w:r>
      <w:r>
        <w:rPr>
          <w:rFonts w:ascii="Arial" w:hAnsi="Arial" w:cs="Arial"/>
        </w:rPr>
        <w:t>HÚ</w:t>
      </w:r>
      <w:r w:rsidRPr="002E33C8">
        <w:rPr>
          <w:rFonts w:ascii="Arial" w:hAnsi="Arial" w:cs="Arial"/>
        </w:rPr>
        <w:t xml:space="preserve"> pro </w:t>
      </w:r>
      <w:r>
        <w:rPr>
          <w:rFonts w:ascii="Arial" w:hAnsi="Arial" w:cs="Arial"/>
        </w:rPr>
        <w:t>VAO</w:t>
      </w:r>
      <w:r w:rsidRPr="002E33C8">
        <w:rPr>
          <w:rFonts w:ascii="Arial" w:hAnsi="Arial" w:cs="Arial"/>
        </w:rPr>
        <w:t xml:space="preserve"> a </w:t>
      </w:r>
      <w:r>
        <w:rPr>
          <w:rFonts w:ascii="Arial" w:hAnsi="Arial" w:cs="Arial"/>
        </w:rPr>
        <w:t>VJP</w:t>
      </w:r>
      <w:r w:rsidRPr="002E33C8">
        <w:rPr>
          <w:rFonts w:ascii="Arial" w:hAnsi="Arial" w:cs="Arial"/>
        </w:rPr>
        <w:t>, přičemž stanov</w:t>
      </w:r>
      <w:r>
        <w:rPr>
          <w:rFonts w:ascii="Arial" w:hAnsi="Arial" w:cs="Arial"/>
        </w:rPr>
        <w:t>uje</w:t>
      </w:r>
      <w:r w:rsidRPr="002E33C8">
        <w:rPr>
          <w:rFonts w:ascii="Arial" w:hAnsi="Arial" w:cs="Arial"/>
        </w:rPr>
        <w:t xml:space="preserve"> vybrat finální lokalitu v roce 2025. Zprovoznění </w:t>
      </w:r>
      <w:r>
        <w:rPr>
          <w:rFonts w:ascii="Arial" w:hAnsi="Arial" w:cs="Arial"/>
        </w:rPr>
        <w:t>HÚ</w:t>
      </w:r>
      <w:r w:rsidRPr="002E33C8">
        <w:rPr>
          <w:rFonts w:ascii="Arial" w:hAnsi="Arial" w:cs="Arial"/>
        </w:rPr>
        <w:t xml:space="preserve"> se předpokládá v</w:t>
      </w:r>
      <w:r>
        <w:rPr>
          <w:rFonts w:ascii="Arial" w:hAnsi="Arial" w:cs="Arial"/>
        </w:rPr>
        <w:t> roce 2065. Až do té doby bude V</w:t>
      </w:r>
      <w:r w:rsidRPr="002E33C8">
        <w:rPr>
          <w:rFonts w:ascii="Arial" w:hAnsi="Arial" w:cs="Arial"/>
        </w:rPr>
        <w:t xml:space="preserve">JP z jaderných elektráren skladováno v transportně-skladovacích kontejnerech umístěných v samostatných skladech vybudovaných přímo v areálech obou jaderných elektráren. V souvislosti s přípravou nového jaderného zdroje jsou vyhodnocovány varianty budoucího ukládání RAO z tohoto zdroje. </w:t>
      </w:r>
    </w:p>
    <w:p w:rsidR="00DA0B00" w:rsidRPr="002E33C8" w:rsidRDefault="00DA0B00" w:rsidP="00DA0B00">
      <w:pPr>
        <w:ind w:firstLine="708"/>
        <w:rPr>
          <w:rFonts w:ascii="Arial" w:hAnsi="Arial" w:cs="Arial"/>
        </w:rPr>
      </w:pPr>
      <w:r>
        <w:rPr>
          <w:rFonts w:ascii="Arial" w:hAnsi="Arial" w:cs="Arial"/>
        </w:rPr>
        <w:t xml:space="preserve">Aktualizace Koncepce nakládání s RAO a VJP v ČR plně reflektuje požadavky </w:t>
      </w:r>
      <w:r w:rsidRPr="002E33C8">
        <w:rPr>
          <w:rFonts w:ascii="Arial" w:hAnsi="Arial" w:cs="Arial"/>
        </w:rPr>
        <w:t>Směrnice Rady 2011/70/EURATOM (ze dne 19.</w:t>
      </w:r>
      <w:r>
        <w:rPr>
          <w:rFonts w:ascii="Arial" w:hAnsi="Arial" w:cs="Arial"/>
        </w:rPr>
        <w:t> </w:t>
      </w:r>
      <w:r w:rsidRPr="002E33C8">
        <w:rPr>
          <w:rFonts w:ascii="Arial" w:hAnsi="Arial" w:cs="Arial"/>
        </w:rPr>
        <w:t>července 2011), kterou se stanoví rámec Společenství pro odpovědné a</w:t>
      </w:r>
      <w:r>
        <w:rPr>
          <w:rFonts w:ascii="Arial" w:hAnsi="Arial" w:cs="Arial"/>
        </w:rPr>
        <w:t> </w:t>
      </w:r>
      <w:r w:rsidRPr="002E33C8">
        <w:rPr>
          <w:rFonts w:ascii="Arial" w:hAnsi="Arial" w:cs="Arial"/>
        </w:rPr>
        <w:t>bezpečné nakládání s vyhořelým palivem a</w:t>
      </w:r>
      <w:r>
        <w:rPr>
          <w:rFonts w:ascii="Arial" w:hAnsi="Arial" w:cs="Arial"/>
        </w:rPr>
        <w:t> </w:t>
      </w:r>
      <w:r w:rsidRPr="002E33C8">
        <w:rPr>
          <w:rFonts w:ascii="Arial" w:hAnsi="Arial" w:cs="Arial"/>
        </w:rPr>
        <w:t>radioaktivním odpadem</w:t>
      </w:r>
      <w:r>
        <w:rPr>
          <w:rFonts w:ascii="Arial" w:hAnsi="Arial" w:cs="Arial"/>
        </w:rPr>
        <w:t xml:space="preserve">. Vláda výše uvedeným usnesením uložila </w:t>
      </w:r>
      <w:r w:rsidRPr="00556A06">
        <w:rPr>
          <w:rFonts w:ascii="Arial" w:hAnsi="Arial" w:cs="Arial"/>
        </w:rPr>
        <w:t xml:space="preserve">podrobit </w:t>
      </w:r>
      <w:r>
        <w:rPr>
          <w:rFonts w:ascii="Arial" w:hAnsi="Arial" w:cs="Arial"/>
        </w:rPr>
        <w:t xml:space="preserve">návrh aktualizace Koncepce </w:t>
      </w:r>
      <w:r w:rsidRPr="00556A06">
        <w:rPr>
          <w:rFonts w:ascii="Arial" w:hAnsi="Arial" w:cs="Arial"/>
        </w:rPr>
        <w:t>procesu Posuzování vlivů koncepcí na životní prostředí</w:t>
      </w:r>
      <w:r>
        <w:rPr>
          <w:rFonts w:ascii="Arial" w:hAnsi="Arial" w:cs="Arial"/>
        </w:rPr>
        <w:t xml:space="preserve"> </w:t>
      </w:r>
      <w:r w:rsidRPr="00556A06">
        <w:rPr>
          <w:rFonts w:ascii="Arial" w:hAnsi="Arial" w:cs="Arial"/>
        </w:rPr>
        <w:t>(proces SEA) podle zákona č. 100/2001 Sb., o posuzování vlivů na životní prostř</w:t>
      </w:r>
      <w:r>
        <w:rPr>
          <w:rFonts w:ascii="Arial" w:hAnsi="Arial" w:cs="Arial"/>
        </w:rPr>
        <w:t>edí a poté bude aktualizace Koncepce předložena vládě k finálnímu schválení. Předpokládá se dokončení tohoto procesu ve druhé polovině roku 2016.</w:t>
      </w:r>
    </w:p>
    <w:p w:rsidR="00DA0B00" w:rsidRPr="002E33C8" w:rsidRDefault="00DA0B00" w:rsidP="00DA0B00">
      <w:pPr>
        <w:ind w:firstLine="708"/>
        <w:rPr>
          <w:rFonts w:ascii="Arial" w:hAnsi="Arial" w:cs="Arial"/>
        </w:rPr>
      </w:pPr>
    </w:p>
    <w:p w:rsidR="00DA0B00" w:rsidRPr="002E33C8" w:rsidRDefault="00DA0B00" w:rsidP="00DA0B00">
      <w:pPr>
        <w:pStyle w:val="Nadpis1"/>
        <w:rPr>
          <w:rFonts w:ascii="Arial" w:hAnsi="Arial" w:cs="Arial"/>
        </w:rPr>
      </w:pPr>
      <w:bookmarkStart w:id="39" w:name="_Toc14078632"/>
      <w:bookmarkStart w:id="40" w:name="_Toc453575854"/>
      <w:bookmarkEnd w:id="15"/>
      <w:bookmarkEnd w:id="16"/>
      <w:bookmarkEnd w:id="17"/>
      <w:bookmarkEnd w:id="18"/>
      <w:bookmarkEnd w:id="19"/>
      <w:bookmarkEnd w:id="20"/>
      <w:r w:rsidRPr="002E33C8">
        <w:rPr>
          <w:rFonts w:ascii="Arial" w:hAnsi="Arial" w:cs="Arial"/>
        </w:rPr>
        <w:t xml:space="preserve">Ukládání </w:t>
      </w:r>
      <w:bookmarkEnd w:id="39"/>
      <w:r>
        <w:rPr>
          <w:rFonts w:ascii="Arial" w:hAnsi="Arial" w:cs="Arial"/>
        </w:rPr>
        <w:t>NSRAO</w:t>
      </w:r>
      <w:bookmarkEnd w:id="40"/>
    </w:p>
    <w:p w:rsidR="00DA0B00" w:rsidRPr="002E33C8" w:rsidRDefault="00DA0B00" w:rsidP="00DA0B00">
      <w:pPr>
        <w:pStyle w:val="Nadpis2"/>
        <w:rPr>
          <w:rFonts w:ascii="Arial" w:hAnsi="Arial" w:cs="Arial"/>
        </w:rPr>
      </w:pPr>
      <w:bookmarkStart w:id="41" w:name="_Toc424383610"/>
      <w:bookmarkStart w:id="42" w:name="_Toc424383884"/>
      <w:bookmarkStart w:id="43" w:name="_Toc426945533"/>
      <w:bookmarkStart w:id="44" w:name="_Toc427297930"/>
      <w:bookmarkStart w:id="45" w:name="_Toc427475051"/>
      <w:bookmarkStart w:id="46" w:name="_Toc427982345"/>
      <w:bookmarkStart w:id="47" w:name="_Toc431523807"/>
      <w:bookmarkStart w:id="48" w:name="_Toc431539524"/>
      <w:bookmarkStart w:id="49" w:name="_Toc432730233"/>
      <w:bookmarkStart w:id="50" w:name="_Toc14078633"/>
      <w:bookmarkStart w:id="51" w:name="_Toc453575855"/>
      <w:r w:rsidRPr="002E33C8">
        <w:rPr>
          <w:rFonts w:ascii="Arial" w:hAnsi="Arial" w:cs="Arial"/>
        </w:rPr>
        <w:t>Provoz úložiště radioaktivních odpadů Dukovany</w:t>
      </w:r>
      <w:bookmarkEnd w:id="41"/>
      <w:bookmarkEnd w:id="42"/>
      <w:bookmarkEnd w:id="43"/>
      <w:bookmarkEnd w:id="44"/>
      <w:bookmarkEnd w:id="45"/>
      <w:bookmarkEnd w:id="46"/>
      <w:bookmarkEnd w:id="47"/>
      <w:bookmarkEnd w:id="48"/>
      <w:bookmarkEnd w:id="49"/>
      <w:bookmarkEnd w:id="50"/>
      <w:bookmarkEnd w:id="51"/>
    </w:p>
    <w:p w:rsidR="00DA0B00" w:rsidRPr="002E33C8" w:rsidRDefault="00DA0B00" w:rsidP="00DA0B00">
      <w:pPr>
        <w:rPr>
          <w:rFonts w:ascii="Arial" w:hAnsi="Arial" w:cs="Arial"/>
        </w:rPr>
      </w:pPr>
    </w:p>
    <w:p w:rsidR="00DA0B00" w:rsidRPr="002E33C8" w:rsidRDefault="00DA0B00" w:rsidP="00DA0B00">
      <w:pPr>
        <w:rPr>
          <w:rFonts w:ascii="Arial" w:hAnsi="Arial" w:cs="Arial"/>
        </w:rPr>
      </w:pPr>
      <w:r w:rsidRPr="002E33C8">
        <w:rPr>
          <w:rFonts w:ascii="Arial" w:hAnsi="Arial" w:cs="Arial"/>
        </w:rPr>
        <w:tab/>
        <w:t xml:space="preserve">Provoz </w:t>
      </w:r>
      <w:r>
        <w:rPr>
          <w:rFonts w:ascii="Arial" w:hAnsi="Arial" w:cs="Arial"/>
        </w:rPr>
        <w:t xml:space="preserve">povrchového </w:t>
      </w:r>
      <w:r w:rsidRPr="002E33C8">
        <w:rPr>
          <w:rFonts w:ascii="Arial" w:hAnsi="Arial" w:cs="Arial"/>
        </w:rPr>
        <w:t>úložiště zajišťuje Správa v souladu s § 26 atomového zákona dodavatelsky, na základě smlouvy s ČEZ, a. s. Přejímka odpadů do úložiště a</w:t>
      </w:r>
      <w:r>
        <w:rPr>
          <w:rFonts w:ascii="Arial" w:hAnsi="Arial" w:cs="Arial"/>
        </w:rPr>
        <w:t> </w:t>
      </w:r>
      <w:r w:rsidRPr="002E33C8">
        <w:rPr>
          <w:rFonts w:ascii="Arial" w:hAnsi="Arial" w:cs="Arial"/>
        </w:rPr>
        <w:t>některé další, zejména kontrolní činnosti, jsou zajišťovány přímo Správou. Správa předpokládá, že v roce 201</w:t>
      </w:r>
      <w:r>
        <w:rPr>
          <w:rFonts w:ascii="Arial" w:hAnsi="Arial" w:cs="Arial"/>
        </w:rPr>
        <w:t>7</w:t>
      </w:r>
      <w:r w:rsidRPr="002E33C8">
        <w:rPr>
          <w:rFonts w:ascii="Arial" w:hAnsi="Arial" w:cs="Arial"/>
        </w:rPr>
        <w:t xml:space="preserve"> bude uloženo cca 500</w:t>
      </w:r>
      <w:r w:rsidR="00483B2B">
        <w:rPr>
          <w:rFonts w:ascii="Arial" w:hAnsi="Arial" w:cs="Arial"/>
        </w:rPr>
        <w:t> </w:t>
      </w:r>
      <w:r w:rsidRPr="002E33C8">
        <w:rPr>
          <w:rFonts w:ascii="Arial" w:hAnsi="Arial" w:cs="Arial"/>
        </w:rPr>
        <w:t>m</w:t>
      </w:r>
      <w:r w:rsidRPr="002E33C8">
        <w:rPr>
          <w:rFonts w:ascii="Arial" w:hAnsi="Arial" w:cs="Arial"/>
          <w:vertAlign w:val="superscript"/>
        </w:rPr>
        <w:t>3</w:t>
      </w:r>
      <w:r w:rsidRPr="002E33C8">
        <w:rPr>
          <w:rFonts w:ascii="Arial" w:hAnsi="Arial" w:cs="Arial"/>
        </w:rPr>
        <w:t xml:space="preserve"> upravených </w:t>
      </w:r>
      <w:r>
        <w:rPr>
          <w:rFonts w:ascii="Arial" w:hAnsi="Arial" w:cs="Arial"/>
        </w:rPr>
        <w:t>NSRAO</w:t>
      </w:r>
      <w:r w:rsidRPr="002E33C8">
        <w:rPr>
          <w:rFonts w:ascii="Arial" w:hAnsi="Arial" w:cs="Arial"/>
        </w:rPr>
        <w:t xml:space="preserve"> z provozu jaderné elektrárny Dukovany a Temelín. Provoz úložiště bude zajišťován tak, aby mohly být RAO plynule přejímány k uložení. V rámci běžného provozu úložiště je každoročně zajišťována kontrola stavu provozovaných stavebních objektů a technologických zařízení, prováděna běžná (provozní) údržba stavebních objektů, pozemků, údržba strojního a elektro zařízení, zajišťována radiační ochrana, fyzická ochrana, havarijní připravenost a jaderná bezpečnost. </w:t>
      </w:r>
      <w:r>
        <w:rPr>
          <w:rFonts w:ascii="Arial" w:hAnsi="Arial" w:cs="Arial"/>
        </w:rPr>
        <w:t>Pro rok 2017 je plánována obnova měřicího systému</w:t>
      </w:r>
      <w:r w:rsidRPr="00F87EE4">
        <w:rPr>
          <w:rFonts w:ascii="Arial" w:hAnsi="Arial" w:cs="Arial"/>
        </w:rPr>
        <w:t xml:space="preserve"> kontaminace dešťových vod</w:t>
      </w:r>
      <w:r>
        <w:rPr>
          <w:rFonts w:ascii="Arial" w:hAnsi="Arial" w:cs="Arial"/>
        </w:rPr>
        <w:t xml:space="preserve"> a provedení nového nátěru vnějšího oplocení areálu ÚRAO.</w:t>
      </w:r>
    </w:p>
    <w:p w:rsidR="00DA0B00" w:rsidRPr="002E33C8" w:rsidRDefault="00DA0B00" w:rsidP="00DA0B00">
      <w:pPr>
        <w:pStyle w:val="Normln0"/>
        <w:jc w:val="both"/>
        <w:rPr>
          <w:rFonts w:ascii="Arial" w:hAnsi="Arial" w:cs="Arial"/>
          <w:sz w:val="24"/>
          <w:szCs w:val="24"/>
        </w:rPr>
      </w:pPr>
    </w:p>
    <w:p w:rsidR="00DA0B00" w:rsidRPr="002E33C8" w:rsidRDefault="00DA0B00" w:rsidP="00DA0B00">
      <w:pPr>
        <w:pStyle w:val="Nadpis2"/>
        <w:rPr>
          <w:rFonts w:ascii="Arial" w:hAnsi="Arial" w:cs="Arial"/>
        </w:rPr>
      </w:pPr>
      <w:bookmarkStart w:id="52" w:name="_Toc426945537"/>
      <w:bookmarkStart w:id="53" w:name="_Toc424383615"/>
      <w:bookmarkStart w:id="54" w:name="_Toc424383889"/>
      <w:bookmarkStart w:id="55" w:name="_Toc432928757"/>
      <w:bookmarkStart w:id="56" w:name="_Toc432928821"/>
      <w:bookmarkStart w:id="57" w:name="_Toc432928946"/>
      <w:bookmarkStart w:id="58" w:name="_Toc432987591"/>
      <w:bookmarkStart w:id="59" w:name="_Toc433077156"/>
      <w:bookmarkStart w:id="60" w:name="_Toc433080438"/>
      <w:bookmarkStart w:id="61" w:name="_Toc515325881"/>
      <w:bookmarkStart w:id="62" w:name="_Toc14078635"/>
      <w:bookmarkStart w:id="63" w:name="_Toc427297934"/>
      <w:bookmarkStart w:id="64" w:name="_Toc427475055"/>
      <w:bookmarkStart w:id="65" w:name="_Toc427982349"/>
      <w:bookmarkStart w:id="66" w:name="_Toc431523811"/>
      <w:bookmarkStart w:id="67" w:name="_Toc431539528"/>
      <w:bookmarkStart w:id="68" w:name="_Toc432730237"/>
      <w:bookmarkStart w:id="69" w:name="_Toc453575856"/>
      <w:bookmarkEnd w:id="52"/>
      <w:r w:rsidRPr="002E33C8">
        <w:rPr>
          <w:rFonts w:ascii="Arial" w:hAnsi="Arial" w:cs="Arial"/>
        </w:rPr>
        <w:t xml:space="preserve">Provoz úložišť radioaktivních odpadů Richard </w:t>
      </w:r>
      <w:bookmarkEnd w:id="53"/>
      <w:bookmarkEnd w:id="54"/>
      <w:r w:rsidRPr="002E33C8">
        <w:rPr>
          <w:rFonts w:ascii="Arial" w:hAnsi="Arial" w:cs="Arial"/>
        </w:rPr>
        <w:t>a Bratrství</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2E33C8">
        <w:rPr>
          <w:rFonts w:ascii="Arial" w:hAnsi="Arial" w:cs="Arial"/>
        </w:rPr>
        <w:t xml:space="preserve"> </w:t>
      </w:r>
    </w:p>
    <w:p w:rsidR="00DA0B00" w:rsidRPr="002E33C8" w:rsidRDefault="00DA0B00" w:rsidP="00DA0B00">
      <w:pPr>
        <w:rPr>
          <w:rFonts w:ascii="Arial" w:hAnsi="Arial" w:cs="Arial"/>
          <w:sz w:val="20"/>
          <w:szCs w:val="20"/>
        </w:rPr>
      </w:pPr>
    </w:p>
    <w:p w:rsidR="00DA0B00" w:rsidRPr="002E33C8" w:rsidRDefault="00DA0B00" w:rsidP="00DA0B00">
      <w:pPr>
        <w:rPr>
          <w:rFonts w:ascii="Arial" w:hAnsi="Arial" w:cs="Arial"/>
        </w:rPr>
      </w:pPr>
      <w:r w:rsidRPr="002E33C8">
        <w:rPr>
          <w:rFonts w:ascii="Arial" w:hAnsi="Arial" w:cs="Arial"/>
          <w:sz w:val="20"/>
          <w:szCs w:val="20"/>
        </w:rPr>
        <w:tab/>
      </w:r>
      <w:r>
        <w:rPr>
          <w:rFonts w:ascii="Arial" w:hAnsi="Arial" w:cs="Arial"/>
        </w:rPr>
        <w:t>Podpovrchová ú</w:t>
      </w:r>
      <w:r w:rsidRPr="002E33C8">
        <w:rPr>
          <w:rFonts w:ascii="Arial" w:hAnsi="Arial" w:cs="Arial"/>
        </w:rPr>
        <w:t>ložiště radioaktivních odpadů Richard a Bratrství jsou provozována Správou v souladu s příslušnými povoleními SÚJB a ČBÚ. V roce 201</w:t>
      </w:r>
      <w:r>
        <w:rPr>
          <w:rFonts w:ascii="Arial" w:hAnsi="Arial" w:cs="Arial"/>
        </w:rPr>
        <w:t>7</w:t>
      </w:r>
      <w:r w:rsidRPr="002E33C8">
        <w:rPr>
          <w:rFonts w:ascii="Arial" w:hAnsi="Arial" w:cs="Arial"/>
        </w:rPr>
        <w:t xml:space="preserve"> přijme Správa do </w:t>
      </w:r>
      <w:r w:rsidRPr="002B351F">
        <w:rPr>
          <w:rFonts w:ascii="Arial" w:hAnsi="Arial" w:cs="Arial"/>
        </w:rPr>
        <w:t xml:space="preserve">těchto úložišť cca </w:t>
      </w:r>
      <w:r>
        <w:rPr>
          <w:rFonts w:ascii="Arial" w:hAnsi="Arial" w:cs="Arial"/>
        </w:rPr>
        <w:t>2</w:t>
      </w:r>
      <w:r w:rsidRPr="002B351F">
        <w:rPr>
          <w:rFonts w:ascii="Arial" w:hAnsi="Arial" w:cs="Arial"/>
        </w:rPr>
        <w:t>00 m</w:t>
      </w:r>
      <w:r w:rsidRPr="002B351F">
        <w:rPr>
          <w:rFonts w:ascii="Arial" w:hAnsi="Arial" w:cs="Arial"/>
          <w:vertAlign w:val="superscript"/>
        </w:rPr>
        <w:t>3</w:t>
      </w:r>
      <w:r w:rsidRPr="002B351F">
        <w:rPr>
          <w:rFonts w:ascii="Arial" w:hAnsi="Arial" w:cs="Arial"/>
        </w:rPr>
        <w:t xml:space="preserve"> upravených </w:t>
      </w:r>
      <w:r>
        <w:rPr>
          <w:rFonts w:ascii="Arial" w:hAnsi="Arial" w:cs="Arial"/>
        </w:rPr>
        <w:t>NSRAO</w:t>
      </w:r>
      <w:r w:rsidRPr="002B351F">
        <w:rPr>
          <w:rFonts w:ascii="Arial" w:hAnsi="Arial" w:cs="Arial"/>
        </w:rPr>
        <w:t>. V roce 201</w:t>
      </w:r>
      <w:r>
        <w:rPr>
          <w:rFonts w:ascii="Arial" w:hAnsi="Arial" w:cs="Arial"/>
        </w:rPr>
        <w:t>7</w:t>
      </w:r>
      <w:r w:rsidRPr="002B351F">
        <w:rPr>
          <w:rFonts w:ascii="Arial" w:hAnsi="Arial" w:cs="Arial"/>
        </w:rPr>
        <w:t xml:space="preserve"> se předpokládá</w:t>
      </w:r>
      <w:r w:rsidRPr="002E33C8">
        <w:rPr>
          <w:rFonts w:ascii="Arial" w:hAnsi="Arial" w:cs="Arial"/>
        </w:rPr>
        <w:t xml:space="preserve"> provádění prací k zajištění bezpečného nakládání s radioaktivními odpady uloženými v úložištích Richard a Bratrství. Tyto práce spočívají v zajištění běžného provozu a</w:t>
      </w:r>
      <w:r>
        <w:rPr>
          <w:rFonts w:ascii="Arial" w:hAnsi="Arial" w:cs="Arial"/>
        </w:rPr>
        <w:t> </w:t>
      </w:r>
      <w:r w:rsidRPr="002E33C8">
        <w:rPr>
          <w:rFonts w:ascii="Arial" w:hAnsi="Arial" w:cs="Arial"/>
        </w:rPr>
        <w:t>údržby úložišť, v zajištění radiační ochrany, fyzické ochrany, havarijní připravenosti a jaderné bezpečnosti.</w:t>
      </w:r>
    </w:p>
    <w:p w:rsidR="00DA0B00" w:rsidRPr="0080617E" w:rsidRDefault="00DA0B00" w:rsidP="00DA0B00">
      <w:pPr>
        <w:ind w:firstLine="708"/>
        <w:rPr>
          <w:rFonts w:ascii="Arial" w:hAnsi="Arial" w:cs="Arial"/>
        </w:rPr>
      </w:pPr>
      <w:r>
        <w:rPr>
          <w:rFonts w:ascii="Arial" w:hAnsi="Arial" w:cs="Arial"/>
        </w:rPr>
        <w:t xml:space="preserve">Budou pokračovat projekční a administrativní přípravy generální rekonstrukce ÚRAO Richard, mj. proběhne výběrové řízení na výběr zpracovatele projektové dokumentace rekonstrukce. Od druhého pololetí 2017 Správa předpokládá </w:t>
      </w:r>
      <w:r w:rsidRPr="0080617E">
        <w:rPr>
          <w:rFonts w:ascii="Arial" w:hAnsi="Arial" w:cs="Arial"/>
        </w:rPr>
        <w:t xml:space="preserve">zajištění strážní služby </w:t>
      </w:r>
      <w:r>
        <w:rPr>
          <w:rFonts w:ascii="Arial" w:hAnsi="Arial" w:cs="Arial"/>
        </w:rPr>
        <w:t>pro ÚRAO Richard dodavatelsky, na základě výběrového řízení</w:t>
      </w:r>
      <w:r w:rsidR="002A2D1F">
        <w:rPr>
          <w:rFonts w:ascii="Arial" w:hAnsi="Arial" w:cs="Arial"/>
        </w:rPr>
        <w:t>.</w:t>
      </w:r>
      <w:r w:rsidR="002A2D1F">
        <w:rPr>
          <w:rStyle w:val="Znakapoznpodarou"/>
          <w:rFonts w:ascii="Arial" w:hAnsi="Arial" w:cs="Arial"/>
        </w:rPr>
        <w:footnoteReference w:id="2"/>
      </w:r>
    </w:p>
    <w:p w:rsidR="00DA0B00" w:rsidRPr="002E33C8" w:rsidRDefault="00DA0B00" w:rsidP="00DA0B00">
      <w:pPr>
        <w:ind w:firstLine="708"/>
        <w:rPr>
          <w:rFonts w:ascii="Arial" w:hAnsi="Arial" w:cs="Arial"/>
        </w:rPr>
      </w:pPr>
      <w:r>
        <w:rPr>
          <w:rFonts w:ascii="Arial" w:hAnsi="Arial" w:cs="Arial"/>
        </w:rPr>
        <w:t xml:space="preserve">Dále bude zahájena rekonstrukce menšího rozsahu, která vytvoří potřebné prostory pro </w:t>
      </w:r>
      <w:r w:rsidRPr="00836063">
        <w:rPr>
          <w:rFonts w:ascii="Arial" w:hAnsi="Arial" w:cs="Arial"/>
        </w:rPr>
        <w:t>ukládání RAO obsahující přírodní radionuklidy.</w:t>
      </w:r>
    </w:p>
    <w:p w:rsidR="00DA0B00" w:rsidRPr="002E33C8" w:rsidRDefault="00DA0B00" w:rsidP="00DA0B00">
      <w:pPr>
        <w:ind w:firstLine="708"/>
        <w:rPr>
          <w:rFonts w:ascii="Arial" w:hAnsi="Arial" w:cs="Arial"/>
        </w:rPr>
      </w:pPr>
      <w:r w:rsidRPr="002E33C8">
        <w:rPr>
          <w:rFonts w:ascii="Arial" w:hAnsi="Arial" w:cs="Arial"/>
        </w:rPr>
        <w:t xml:space="preserve">Na ÚRAO Bratrství </w:t>
      </w:r>
      <w:r>
        <w:rPr>
          <w:rFonts w:ascii="Arial" w:hAnsi="Arial" w:cs="Arial"/>
        </w:rPr>
        <w:t>b</w:t>
      </w:r>
      <w:r w:rsidRPr="002E33C8">
        <w:rPr>
          <w:rFonts w:ascii="Arial" w:hAnsi="Arial" w:cs="Arial"/>
        </w:rPr>
        <w:t>udou zahájeny činnosti vedoucí k </w:t>
      </w:r>
      <w:r>
        <w:rPr>
          <w:rFonts w:ascii="Arial" w:hAnsi="Arial" w:cs="Arial"/>
        </w:rPr>
        <w:t xml:space="preserve">ukončení provozu </w:t>
      </w:r>
      <w:r w:rsidRPr="002E33C8">
        <w:rPr>
          <w:rFonts w:ascii="Arial" w:hAnsi="Arial" w:cs="Arial"/>
        </w:rPr>
        <w:t>kolem roku 2020</w:t>
      </w:r>
      <w:r>
        <w:rPr>
          <w:rFonts w:ascii="Arial" w:hAnsi="Arial" w:cs="Arial"/>
        </w:rPr>
        <w:t xml:space="preserve"> a k </w:t>
      </w:r>
      <w:r w:rsidRPr="002E33C8">
        <w:rPr>
          <w:rFonts w:ascii="Arial" w:hAnsi="Arial" w:cs="Arial"/>
        </w:rPr>
        <w:t>získání povolení od SÚJB pro uzavření úložiště.</w:t>
      </w:r>
    </w:p>
    <w:p w:rsidR="00DA0B00" w:rsidRPr="002E33C8" w:rsidRDefault="00DA0B00" w:rsidP="00DA0B00">
      <w:pPr>
        <w:ind w:firstLine="708"/>
        <w:rPr>
          <w:rFonts w:ascii="Arial" w:hAnsi="Arial" w:cs="Arial"/>
        </w:rPr>
      </w:pPr>
      <w:r w:rsidRPr="002E33C8">
        <w:rPr>
          <w:rFonts w:ascii="Arial" w:hAnsi="Arial" w:cs="Arial"/>
        </w:rPr>
        <w:t>V roce 201</w:t>
      </w:r>
      <w:r>
        <w:rPr>
          <w:rFonts w:ascii="Arial" w:hAnsi="Arial" w:cs="Arial"/>
        </w:rPr>
        <w:t>7</w:t>
      </w:r>
      <w:r w:rsidRPr="002E33C8">
        <w:rPr>
          <w:rFonts w:ascii="Arial" w:hAnsi="Arial" w:cs="Arial"/>
        </w:rPr>
        <w:t xml:space="preserve"> bude, obdobně jako v minulých letech, monitorováno uzavřené </w:t>
      </w:r>
      <w:r>
        <w:rPr>
          <w:rFonts w:ascii="Arial" w:hAnsi="Arial" w:cs="Arial"/>
        </w:rPr>
        <w:t>ú</w:t>
      </w:r>
      <w:r w:rsidRPr="002E33C8">
        <w:rPr>
          <w:rFonts w:ascii="Arial" w:hAnsi="Arial" w:cs="Arial"/>
        </w:rPr>
        <w:t xml:space="preserve">ložiště Hostim. </w:t>
      </w:r>
    </w:p>
    <w:p w:rsidR="00DA0B00" w:rsidRPr="002E33C8" w:rsidRDefault="00DA0B00" w:rsidP="00DA0B00">
      <w:pPr>
        <w:pStyle w:val="Normln0"/>
        <w:jc w:val="both"/>
        <w:rPr>
          <w:rFonts w:ascii="Arial" w:hAnsi="Arial" w:cs="Arial"/>
          <w:sz w:val="24"/>
          <w:szCs w:val="24"/>
        </w:rPr>
      </w:pPr>
    </w:p>
    <w:p w:rsidR="00DA0B00" w:rsidRPr="002E33C8" w:rsidRDefault="00DA0B00" w:rsidP="00DA0B00">
      <w:pPr>
        <w:pStyle w:val="Nadpis2"/>
        <w:rPr>
          <w:rFonts w:ascii="Arial" w:hAnsi="Arial" w:cs="Arial"/>
        </w:rPr>
      </w:pPr>
      <w:bookmarkStart w:id="70" w:name="_Toc453575857"/>
      <w:r w:rsidRPr="002E33C8">
        <w:rPr>
          <w:rFonts w:ascii="Arial" w:hAnsi="Arial" w:cs="Arial"/>
        </w:rPr>
        <w:t>Příspěvek obcím</w:t>
      </w:r>
      <w:bookmarkEnd w:id="70"/>
    </w:p>
    <w:p w:rsidR="00DA0B00" w:rsidRPr="002E33C8" w:rsidRDefault="00DA0B00" w:rsidP="00DA0B00">
      <w:pPr>
        <w:pStyle w:val="Normln0"/>
        <w:jc w:val="both"/>
        <w:rPr>
          <w:rFonts w:ascii="Arial" w:hAnsi="Arial" w:cs="Arial"/>
          <w:sz w:val="24"/>
          <w:szCs w:val="24"/>
        </w:rPr>
      </w:pPr>
    </w:p>
    <w:p w:rsidR="00DA0B00" w:rsidRPr="00297386" w:rsidRDefault="00DA0B00" w:rsidP="00DA0B00">
      <w:pPr>
        <w:ind w:firstLine="709"/>
        <w:rPr>
          <w:rFonts w:ascii="Arial" w:hAnsi="Arial" w:cs="Arial"/>
          <w:lang w:eastAsia="en-US"/>
        </w:rPr>
      </w:pPr>
      <w:r w:rsidRPr="00297386">
        <w:rPr>
          <w:rFonts w:ascii="Arial" w:hAnsi="Arial" w:cs="Arial"/>
          <w:lang w:eastAsia="en-US"/>
        </w:rPr>
        <w:t>V roce 201</w:t>
      </w:r>
      <w:r>
        <w:rPr>
          <w:rFonts w:ascii="Arial" w:hAnsi="Arial" w:cs="Arial"/>
          <w:lang w:eastAsia="en-US"/>
        </w:rPr>
        <w:t>5</w:t>
      </w:r>
      <w:r w:rsidRPr="00297386">
        <w:rPr>
          <w:rFonts w:ascii="Arial" w:hAnsi="Arial" w:cs="Arial"/>
          <w:lang w:eastAsia="en-US"/>
        </w:rPr>
        <w:t xml:space="preserve"> byl poskytnut obcím Rouchovany, Litoměřice a Jáchymov příspěvek podle §</w:t>
      </w:r>
      <w:r>
        <w:rPr>
          <w:rFonts w:ascii="Arial" w:hAnsi="Arial" w:cs="Arial"/>
          <w:lang w:eastAsia="en-US"/>
        </w:rPr>
        <w:t xml:space="preserve"> </w:t>
      </w:r>
      <w:r w:rsidRPr="00297386">
        <w:rPr>
          <w:rFonts w:ascii="Arial" w:hAnsi="Arial" w:cs="Arial"/>
          <w:lang w:eastAsia="en-US"/>
        </w:rPr>
        <w:t xml:space="preserve">27 odst. 9 písm. c) zákona č. 18/1997 Sb., v souladu s nařízením </w:t>
      </w:r>
      <w:r w:rsidRPr="00B273A4">
        <w:rPr>
          <w:rFonts w:ascii="Arial" w:hAnsi="Arial" w:cs="Arial"/>
          <w:lang w:eastAsia="en-US"/>
        </w:rPr>
        <w:t xml:space="preserve">vlády č. 416/2002 Sb., každé ve výši </w:t>
      </w:r>
      <w:r>
        <w:rPr>
          <w:rFonts w:ascii="Arial" w:hAnsi="Arial" w:cs="Arial"/>
          <w:lang w:eastAsia="en-US"/>
        </w:rPr>
        <w:t>4</w:t>
      </w:r>
      <w:r w:rsidRPr="00B273A4">
        <w:rPr>
          <w:rFonts w:ascii="Arial" w:hAnsi="Arial" w:cs="Arial"/>
          <w:lang w:eastAsia="en-US"/>
        </w:rPr>
        <w:t xml:space="preserve"> mil. Kč</w:t>
      </w:r>
      <w:r w:rsidRPr="00EA26AC">
        <w:rPr>
          <w:rFonts w:ascii="Arial" w:hAnsi="Arial" w:cs="Arial"/>
          <w:lang w:eastAsia="en-US"/>
        </w:rPr>
        <w:t xml:space="preserve">. </w:t>
      </w:r>
      <w:r w:rsidRPr="00EA26AC">
        <w:rPr>
          <w:rFonts w:ascii="Arial" w:hAnsi="Arial" w:cs="Arial"/>
        </w:rPr>
        <w:t>Tuto částku použila obec Rouchovany zejména na stavební úpravy infrastruktury obce, chodníků a kanalizace.</w:t>
      </w:r>
      <w:r w:rsidRPr="00664D14">
        <w:rPr>
          <w:rFonts w:ascii="Arial" w:hAnsi="Arial" w:cs="Arial"/>
        </w:rPr>
        <w:t xml:space="preserve"> Obec Litoměřice použila tuto částku zejména na kanalizaci v obci Želetice, filtraci vody pro městské koupaliště, na příspěvek pro solární systémy občanům a na vybudování podzemního kontejnerového stání</w:t>
      </w:r>
      <w:r w:rsidRPr="00EA26AC">
        <w:rPr>
          <w:rFonts w:ascii="Arial" w:hAnsi="Arial" w:cs="Arial"/>
        </w:rPr>
        <w:t>. Obec Jáchymov použila tuto částku zejména na pravidelný úklid města, svoz komunálního odpadu a na opravy komunikací. R</w:t>
      </w:r>
      <w:r>
        <w:rPr>
          <w:rFonts w:ascii="Arial" w:hAnsi="Arial" w:cs="Arial"/>
        </w:rPr>
        <w:t>ozpočet na rok 2017</w:t>
      </w:r>
      <w:r w:rsidRPr="00B273A4">
        <w:rPr>
          <w:rFonts w:ascii="Arial" w:hAnsi="Arial" w:cs="Arial"/>
        </w:rPr>
        <w:t xml:space="preserve"> </w:t>
      </w:r>
      <w:r>
        <w:rPr>
          <w:rFonts w:ascii="Arial" w:hAnsi="Arial" w:cs="Arial"/>
        </w:rPr>
        <w:t xml:space="preserve">je </w:t>
      </w:r>
      <w:r w:rsidRPr="00B273A4">
        <w:rPr>
          <w:rFonts w:ascii="Arial" w:hAnsi="Arial" w:cs="Arial"/>
        </w:rPr>
        <w:t>uvažován v</w:t>
      </w:r>
      <w:r>
        <w:rPr>
          <w:rFonts w:ascii="Arial" w:hAnsi="Arial" w:cs="Arial"/>
        </w:rPr>
        <w:t> souladu s</w:t>
      </w:r>
      <w:r w:rsidRPr="00B273A4">
        <w:rPr>
          <w:rFonts w:ascii="Arial" w:hAnsi="Arial" w:cs="Arial"/>
        </w:rPr>
        <w:t xml:space="preserve"> nařízení</w:t>
      </w:r>
      <w:r>
        <w:rPr>
          <w:rFonts w:ascii="Arial" w:hAnsi="Arial" w:cs="Arial"/>
        </w:rPr>
        <w:t>m</w:t>
      </w:r>
      <w:r w:rsidRPr="00B273A4">
        <w:rPr>
          <w:rFonts w:ascii="Arial" w:hAnsi="Arial" w:cs="Arial"/>
        </w:rPr>
        <w:t xml:space="preserve"> vlády č. 416/2002 Sb. ve výši </w:t>
      </w:r>
      <w:r>
        <w:rPr>
          <w:rFonts w:ascii="Arial" w:hAnsi="Arial" w:cs="Arial"/>
        </w:rPr>
        <w:t>4</w:t>
      </w:r>
      <w:r w:rsidRPr="00B273A4">
        <w:rPr>
          <w:rFonts w:ascii="Arial" w:hAnsi="Arial" w:cs="Arial"/>
        </w:rPr>
        <w:t> mil.</w:t>
      </w:r>
      <w:r>
        <w:rPr>
          <w:rFonts w:ascii="Arial" w:hAnsi="Arial" w:cs="Arial"/>
        </w:rPr>
        <w:t> </w:t>
      </w:r>
      <w:r w:rsidRPr="00B273A4">
        <w:rPr>
          <w:rFonts w:ascii="Arial" w:hAnsi="Arial" w:cs="Arial"/>
        </w:rPr>
        <w:t>Kč pro každou výše uvedenou obec.</w:t>
      </w:r>
    </w:p>
    <w:p w:rsidR="00DA0B00" w:rsidRPr="002E33C8" w:rsidRDefault="00DA0B00" w:rsidP="00DA0B00">
      <w:pPr>
        <w:pStyle w:val="Normln0"/>
        <w:jc w:val="both"/>
        <w:rPr>
          <w:rFonts w:ascii="Arial" w:hAnsi="Arial" w:cs="Arial"/>
          <w:sz w:val="24"/>
          <w:szCs w:val="24"/>
        </w:rPr>
      </w:pPr>
    </w:p>
    <w:p w:rsidR="00DA0B00" w:rsidRPr="002E33C8" w:rsidRDefault="00DA0B00" w:rsidP="00DA0B00">
      <w:pPr>
        <w:pStyle w:val="Nadpis1"/>
        <w:rPr>
          <w:rFonts w:ascii="Arial" w:hAnsi="Arial" w:cs="Arial"/>
        </w:rPr>
      </w:pPr>
      <w:bookmarkStart w:id="71" w:name="_Toc432928755"/>
      <w:bookmarkStart w:id="72" w:name="_Toc432928819"/>
      <w:bookmarkStart w:id="73" w:name="_Toc432928944"/>
      <w:bookmarkStart w:id="74" w:name="_Toc432987589"/>
      <w:bookmarkStart w:id="75" w:name="_Toc433077154"/>
      <w:bookmarkStart w:id="76" w:name="_Toc433080436"/>
      <w:bookmarkStart w:id="77" w:name="_Toc424383612"/>
      <w:bookmarkStart w:id="78" w:name="_Toc424383886"/>
      <w:bookmarkStart w:id="79" w:name="_Toc426945535"/>
      <w:bookmarkStart w:id="80" w:name="_Toc427297932"/>
      <w:bookmarkStart w:id="81" w:name="_Toc427475053"/>
      <w:bookmarkStart w:id="82" w:name="_Toc427982347"/>
      <w:bookmarkStart w:id="83" w:name="_Toc431523809"/>
      <w:bookmarkStart w:id="84" w:name="_Toc431539526"/>
      <w:bookmarkStart w:id="85" w:name="_Toc432730235"/>
      <w:bookmarkStart w:id="86" w:name="_Toc515325883"/>
      <w:bookmarkStart w:id="87" w:name="_Toc14078637"/>
      <w:bookmarkStart w:id="88" w:name="_Toc453575858"/>
      <w:r w:rsidRPr="002E33C8">
        <w:rPr>
          <w:rFonts w:ascii="Arial" w:hAnsi="Arial" w:cs="Arial"/>
        </w:rPr>
        <w:t xml:space="preserve">Příprava hlubinného úložiště </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E33C8">
        <w:rPr>
          <w:rFonts w:ascii="Arial" w:hAnsi="Arial" w:cs="Arial"/>
        </w:rPr>
        <w:t>VAO a VJP</w:t>
      </w:r>
      <w:bookmarkEnd w:id="86"/>
      <w:bookmarkEnd w:id="87"/>
      <w:bookmarkEnd w:id="88"/>
    </w:p>
    <w:p w:rsidR="00DA0B00" w:rsidRPr="002E33C8" w:rsidRDefault="00DA0B00" w:rsidP="00DA0B00">
      <w:pPr>
        <w:pStyle w:val="Normln0"/>
        <w:jc w:val="both"/>
        <w:rPr>
          <w:rFonts w:ascii="Arial" w:hAnsi="Arial" w:cs="Arial"/>
          <w:sz w:val="24"/>
          <w:szCs w:val="24"/>
        </w:rPr>
      </w:pPr>
    </w:p>
    <w:p w:rsidR="00DA0B00" w:rsidRPr="002E33C8" w:rsidRDefault="00DA0B00" w:rsidP="00DA0B00">
      <w:pPr>
        <w:pStyle w:val="Nadpis2"/>
        <w:tabs>
          <w:tab w:val="clear" w:pos="851"/>
          <w:tab w:val="left" w:pos="709"/>
        </w:tabs>
        <w:rPr>
          <w:rFonts w:ascii="Arial" w:hAnsi="Arial" w:cs="Arial"/>
        </w:rPr>
      </w:pPr>
      <w:bookmarkStart w:id="89" w:name="_Toc300153303"/>
      <w:bookmarkStart w:id="90" w:name="_Toc453575859"/>
      <w:bookmarkStart w:id="91" w:name="_Toc432928756"/>
      <w:bookmarkStart w:id="92" w:name="_Toc432928820"/>
      <w:bookmarkStart w:id="93" w:name="_Toc432928945"/>
      <w:bookmarkStart w:id="94" w:name="_Toc432987590"/>
      <w:r w:rsidRPr="002E33C8">
        <w:rPr>
          <w:rFonts w:ascii="Arial" w:hAnsi="Arial" w:cs="Arial"/>
        </w:rPr>
        <w:t>Výběr lokality pro hlubinné úložiště</w:t>
      </w:r>
      <w:bookmarkEnd w:id="89"/>
      <w:bookmarkEnd w:id="90"/>
      <w:r w:rsidRPr="002E33C8">
        <w:rPr>
          <w:rFonts w:ascii="Arial" w:hAnsi="Arial" w:cs="Arial"/>
        </w:rPr>
        <w:t xml:space="preserve"> </w:t>
      </w:r>
    </w:p>
    <w:p w:rsidR="00DA0B00" w:rsidRPr="002E33C8" w:rsidRDefault="00DA0B00" w:rsidP="00DA0B00">
      <w:pPr>
        <w:pStyle w:val="Normlnsmezerou0"/>
        <w:spacing w:before="0" w:after="0"/>
      </w:pPr>
    </w:p>
    <w:p w:rsidR="00DA0B00" w:rsidRDefault="00DA0B00" w:rsidP="00DA0B00">
      <w:pPr>
        <w:pStyle w:val="Normlnsmezerou0"/>
        <w:spacing w:before="0" w:after="0"/>
      </w:pPr>
      <w:r>
        <w:t xml:space="preserve">V </w:t>
      </w:r>
      <w:r w:rsidRPr="002E33C8">
        <w:t>Koncepc</w:t>
      </w:r>
      <w:r>
        <w:t>i</w:t>
      </w:r>
      <w:r w:rsidRPr="002E33C8">
        <w:t xml:space="preserve"> nakládání s RAO a VJP</w:t>
      </w:r>
      <w:r>
        <w:t xml:space="preserve"> </w:t>
      </w:r>
      <w:r w:rsidRPr="002E33C8">
        <w:t>v</w:t>
      </w:r>
      <w:r>
        <w:t> </w:t>
      </w:r>
      <w:r w:rsidRPr="002E33C8">
        <w:t>ČR</w:t>
      </w:r>
      <w:r>
        <w:t>, schválené usnesením vlády ČR č. 487/2002,</w:t>
      </w:r>
      <w:r w:rsidRPr="002E33C8">
        <w:t xml:space="preserve"> </w:t>
      </w:r>
      <w:r>
        <w:t>bylo Správě uloženo</w:t>
      </w:r>
      <w:r w:rsidRPr="002E33C8">
        <w:t xml:space="preserve"> zařadit dvě kandidátní lokality do územních plánů do roku 2015. S ohledem na pozastavení prací výběru lokality do roku 2009, dále z důvodu schválení motivačních nástrojů pro obce až v roce </w:t>
      </w:r>
      <w:r w:rsidRPr="006A31C9">
        <w:t>2011</w:t>
      </w:r>
      <w:r w:rsidRPr="002E33C8">
        <w:t xml:space="preserve"> a</w:t>
      </w:r>
      <w:r>
        <w:t> </w:t>
      </w:r>
      <w:r w:rsidRPr="002E33C8">
        <w:t xml:space="preserve">v neposlední řadě i vzhledem k hledání konsensu a porozumění s dotčenými </w:t>
      </w:r>
      <w:r w:rsidRPr="00836063">
        <w:t>obcemi k jejich zapojení do výběru lokality, byl usnesením vlády č. 955 z 20.</w:t>
      </w:r>
      <w:r>
        <w:t> </w:t>
      </w:r>
      <w:r w:rsidRPr="00836063">
        <w:t>12.</w:t>
      </w:r>
      <w:r>
        <w:t> </w:t>
      </w:r>
      <w:r w:rsidRPr="00836063">
        <w:t xml:space="preserve">2012 stanoven termín do konce roku 2018. </w:t>
      </w:r>
    </w:p>
    <w:p w:rsidR="00DA0B00" w:rsidRPr="002E33C8" w:rsidRDefault="00DA0B00" w:rsidP="00DA0B00">
      <w:pPr>
        <w:pStyle w:val="Normlnsmezerou0"/>
        <w:spacing w:before="0" w:after="0"/>
      </w:pPr>
      <w:r>
        <w:t xml:space="preserve">Aktualizace </w:t>
      </w:r>
      <w:r w:rsidRPr="002E33C8">
        <w:t>Koncepc</w:t>
      </w:r>
      <w:r>
        <w:t>e</w:t>
      </w:r>
      <w:r w:rsidRPr="002E33C8">
        <w:t xml:space="preserve"> nakládání s RAO a VJP</w:t>
      </w:r>
      <w:r>
        <w:t xml:space="preserve"> </w:t>
      </w:r>
      <w:r w:rsidRPr="002E33C8">
        <w:t>v</w:t>
      </w:r>
      <w:r>
        <w:t> </w:t>
      </w:r>
      <w:r w:rsidRPr="002E33C8">
        <w:t>ČR</w:t>
      </w:r>
      <w:r>
        <w:t xml:space="preserve">, která byla vzata na vědomí vládou ČR (usnesení č. 1061 z roku 2014), termín výběru dvou lokalit přizpůsobila aktuálnímu vývoji situace. </w:t>
      </w:r>
      <w:r w:rsidRPr="00AF2C1D">
        <w:t xml:space="preserve">Vláda uložila podrobit </w:t>
      </w:r>
      <w:r w:rsidR="00194DFA">
        <w:t>a</w:t>
      </w:r>
      <w:r w:rsidRPr="00AF2C1D">
        <w:t>ktualizaci koncepce procesu SEA (</w:t>
      </w:r>
      <w:r w:rsidRPr="00AF2C1D">
        <w:rPr>
          <w:lang w:val="en-GB"/>
        </w:rPr>
        <w:t>Strategic Environmental Assessment</w:t>
      </w:r>
      <w:r w:rsidRPr="00AF2C1D">
        <w:t>). Tento proces nyní probíhá</w:t>
      </w:r>
      <w:r>
        <w:t xml:space="preserve"> </w:t>
      </w:r>
      <w:r w:rsidRPr="00AF2C1D">
        <w:t xml:space="preserve">– </w:t>
      </w:r>
      <w:r>
        <w:t xml:space="preserve">je </w:t>
      </w:r>
      <w:r w:rsidRPr="00AF2C1D">
        <w:t xml:space="preserve">zpracováno </w:t>
      </w:r>
      <w:r w:rsidR="00194DFA">
        <w:t>o</w:t>
      </w:r>
      <w:r w:rsidRPr="00AF2C1D">
        <w:t>známen</w:t>
      </w:r>
      <w:r>
        <w:t>í</w:t>
      </w:r>
      <w:r w:rsidRPr="00AF2C1D">
        <w:t xml:space="preserve"> dle § 10c a přílohy č. 7 zákona č. 100/2001 Sb., o posuzování vlivů na životní prostředí, v platném znění</w:t>
      </w:r>
      <w:r w:rsidR="00194DFA">
        <w:t>.</w:t>
      </w:r>
      <w:r w:rsidRPr="00AF2C1D">
        <w:t xml:space="preserve"> </w:t>
      </w:r>
      <w:r w:rsidR="00194DFA">
        <w:t>Rovněž</w:t>
      </w:r>
      <w:r w:rsidRPr="00AF2C1D">
        <w:t xml:space="preserve"> probíhají kon</w:t>
      </w:r>
      <w:r w:rsidR="00194DFA">
        <w:t>z</w:t>
      </w:r>
      <w:r w:rsidRPr="00AF2C1D">
        <w:t>ultace s</w:t>
      </w:r>
      <w:r w:rsidR="00483B2B">
        <w:t> </w:t>
      </w:r>
      <w:r w:rsidRPr="00AF2C1D">
        <w:t xml:space="preserve">Evropskou komisí ve smyslu </w:t>
      </w:r>
      <w:r w:rsidR="0003459A">
        <w:t>S</w:t>
      </w:r>
      <w:r w:rsidRPr="00AF2C1D">
        <w:t xml:space="preserve">měrnice </w:t>
      </w:r>
      <w:r w:rsidR="00194DFA">
        <w:t>R</w:t>
      </w:r>
      <w:r w:rsidRPr="00AF2C1D">
        <w:t xml:space="preserve">ady 2011/70/EURATOM. </w:t>
      </w:r>
      <w:r w:rsidRPr="00836063">
        <w:t>S ohledem na dosavadní průběh žádostí ke stanovení průzkumného území je reálné provedení výběru dvou kandidátních lokalit až po roce 2018, s předpokladem do konce roku 2020. Posun tohoto termínu</w:t>
      </w:r>
      <w:r w:rsidRPr="002E33C8">
        <w:t xml:space="preserve"> neovlivní výběr finální lokality do roku 2025 a</w:t>
      </w:r>
      <w:r w:rsidR="00483B2B">
        <w:t> </w:t>
      </w:r>
      <w:r w:rsidRPr="002E33C8">
        <w:t>zahájení provozu HÚ po roce 2065.</w:t>
      </w:r>
    </w:p>
    <w:p w:rsidR="00DA0B00" w:rsidRDefault="00DA0B00" w:rsidP="00DA0B00">
      <w:pPr>
        <w:ind w:right="-2" w:firstLine="708"/>
        <w:rPr>
          <w:rFonts w:ascii="Arial" w:hAnsi="Arial" w:cs="Arial"/>
        </w:rPr>
      </w:pPr>
      <w:r w:rsidRPr="00CE3869">
        <w:rPr>
          <w:rFonts w:ascii="Arial" w:hAnsi="Arial" w:cs="Arial"/>
        </w:rPr>
        <w:t>Vzhledem k tomu, že S</w:t>
      </w:r>
      <w:r>
        <w:rPr>
          <w:rFonts w:ascii="Arial" w:hAnsi="Arial" w:cs="Arial"/>
        </w:rPr>
        <w:t>práva</w:t>
      </w:r>
      <w:r w:rsidRPr="00CE3869">
        <w:rPr>
          <w:rFonts w:ascii="Arial" w:hAnsi="Arial" w:cs="Arial"/>
        </w:rPr>
        <w:t xml:space="preserve"> je vázána povinnostmi vyplývajícími z Koncepce </w:t>
      </w:r>
      <w:r w:rsidRPr="002B351F">
        <w:rPr>
          <w:rFonts w:ascii="Arial" w:hAnsi="Arial" w:cs="Arial"/>
        </w:rPr>
        <w:t>nakládání s RAO a VJP</w:t>
      </w:r>
      <w:r>
        <w:rPr>
          <w:rFonts w:ascii="Arial" w:hAnsi="Arial" w:cs="Arial"/>
        </w:rPr>
        <w:t xml:space="preserve"> </w:t>
      </w:r>
      <w:r w:rsidRPr="002B351F">
        <w:rPr>
          <w:rFonts w:ascii="Arial" w:hAnsi="Arial" w:cs="Arial"/>
        </w:rPr>
        <w:t>v</w:t>
      </w:r>
      <w:r>
        <w:rPr>
          <w:rFonts w:ascii="Arial" w:hAnsi="Arial" w:cs="Arial"/>
        </w:rPr>
        <w:t> </w:t>
      </w:r>
      <w:r w:rsidRPr="002B351F">
        <w:rPr>
          <w:rFonts w:ascii="Arial" w:hAnsi="Arial" w:cs="Arial"/>
        </w:rPr>
        <w:t>ČR</w:t>
      </w:r>
      <w:r>
        <w:rPr>
          <w:rFonts w:ascii="Arial" w:hAnsi="Arial" w:cs="Arial"/>
        </w:rPr>
        <w:t xml:space="preserve"> i její aktualizace</w:t>
      </w:r>
      <w:r w:rsidRPr="002B351F">
        <w:rPr>
          <w:rFonts w:ascii="Arial" w:hAnsi="Arial" w:cs="Arial"/>
        </w:rPr>
        <w:t xml:space="preserve">, bylo rozhodnuto podat v roce 2013 žádosti o stanovení průzkumných území na všech vybraných lokalitách, avšak pouze pro </w:t>
      </w:r>
      <w:r>
        <w:rPr>
          <w:rFonts w:ascii="Arial" w:hAnsi="Arial" w:cs="Arial"/>
        </w:rPr>
        <w:t>práce bez technických prací</w:t>
      </w:r>
      <w:r w:rsidRPr="002B351F">
        <w:rPr>
          <w:rFonts w:ascii="Arial" w:hAnsi="Arial" w:cs="Arial"/>
        </w:rPr>
        <w:t xml:space="preserve">. </w:t>
      </w:r>
      <w:r w:rsidRPr="00B84F38">
        <w:rPr>
          <w:rFonts w:ascii="Arial" w:hAnsi="Arial" w:cs="Arial"/>
        </w:rPr>
        <w:t xml:space="preserve">Před vydáním rozhodnutí proběhlo několik připomínkových řízení, včetně ústního jednání za účasti dotčených obcí i nevládních organizací. Řadu </w:t>
      </w:r>
      <w:r>
        <w:rPr>
          <w:rFonts w:ascii="Arial" w:hAnsi="Arial" w:cs="Arial"/>
        </w:rPr>
        <w:t xml:space="preserve">připomínek MŽP </w:t>
      </w:r>
      <w:r w:rsidRPr="00B84F38">
        <w:rPr>
          <w:rFonts w:ascii="Arial" w:hAnsi="Arial" w:cs="Arial"/>
        </w:rPr>
        <w:t xml:space="preserve">zohlednilo, všechny byly z pohledu Správy řádně vypořádány. Právě způsob vypořádání všech připomínek a zohlednění mnohých ukazuje veřejnosti zodpovědný přístup státu k tomuto problému. Po vydání rozhodnutí byl ponechán velký časový prostor pro případné podání rozkladu. Někteří účastníci řízení využili </w:t>
      </w:r>
      <w:r>
        <w:rPr>
          <w:rFonts w:ascii="Arial" w:hAnsi="Arial" w:cs="Arial"/>
        </w:rPr>
        <w:t>svého práva a rozklad proti rozhodnutí MŽP podali. R</w:t>
      </w:r>
      <w:r w:rsidRPr="00B84F38">
        <w:rPr>
          <w:rFonts w:ascii="Arial" w:hAnsi="Arial" w:cs="Arial"/>
        </w:rPr>
        <w:t>ozkladová komise MŽP</w:t>
      </w:r>
      <w:r>
        <w:rPr>
          <w:rFonts w:ascii="Arial" w:hAnsi="Arial" w:cs="Arial"/>
        </w:rPr>
        <w:t>,</w:t>
      </w:r>
      <w:r w:rsidRPr="00B84F38">
        <w:rPr>
          <w:rFonts w:ascii="Arial" w:hAnsi="Arial" w:cs="Arial"/>
        </w:rPr>
        <w:t xml:space="preserve"> jako poradní orgán ministra</w:t>
      </w:r>
      <w:r>
        <w:rPr>
          <w:rFonts w:ascii="Arial" w:hAnsi="Arial" w:cs="Arial"/>
        </w:rPr>
        <w:t>, doporučila podané rozklady zamítnout</w:t>
      </w:r>
      <w:r w:rsidRPr="00B84F38">
        <w:rPr>
          <w:rFonts w:ascii="Arial" w:hAnsi="Arial" w:cs="Arial"/>
        </w:rPr>
        <w:t xml:space="preserve">. </w:t>
      </w:r>
      <w:r>
        <w:rPr>
          <w:rFonts w:ascii="Arial" w:hAnsi="Arial" w:cs="Arial"/>
        </w:rPr>
        <w:t xml:space="preserve">V květnu a září 2015 byly rozklady ministrem životního prostředí zamítnuty a rozhodnutí o stanovení průzkumného území na všech 7 lokalitách nabyla právní moci. Vzhledem k tomu, že nabytí právní moci rozhodnutí se oproti původním předpokladům posunulo až do roku 2015 a rozhodnutí o stanovení průzkumných území mají platnost pouze do konce roku 2016, bude Správa žádat, v návaznosti na průběh geologických prací, o jejich prodloužení. Přehled obcí, které by měly získat příspěvek z jaderného účtu podle atomového zákona a NV č. 416/2002 Sb. v návaznosti na prodloužení platnosti rozhodnutí MŽP o stanovení průzkumných území je uveden dále v tabulce. V příloze </w:t>
      </w:r>
      <w:r w:rsidR="0089031A">
        <w:rPr>
          <w:rFonts w:ascii="Arial" w:hAnsi="Arial" w:cs="Arial"/>
        </w:rPr>
        <w:t>č. 2</w:t>
      </w:r>
      <w:r>
        <w:rPr>
          <w:rFonts w:ascii="Arial" w:hAnsi="Arial" w:cs="Arial"/>
        </w:rPr>
        <w:t xml:space="preserve"> je přehled použití příspěvku poskytnutého za rok 2015.</w:t>
      </w:r>
    </w:p>
    <w:p w:rsidR="009B0A7A" w:rsidRDefault="009B0A7A" w:rsidP="00DA0B00">
      <w:pPr>
        <w:ind w:right="-2" w:firstLine="708"/>
        <w:rPr>
          <w:rFonts w:ascii="Arial" w:hAnsi="Arial" w:cs="Arial"/>
        </w:rPr>
      </w:pPr>
    </w:p>
    <w:p w:rsidR="009B0A7A" w:rsidRDefault="009B0A7A" w:rsidP="00DA0B00">
      <w:pPr>
        <w:ind w:right="-2" w:firstLine="708"/>
        <w:rPr>
          <w:rFonts w:ascii="Arial" w:hAnsi="Arial" w:cs="Arial"/>
        </w:rPr>
      </w:pPr>
    </w:p>
    <w:p w:rsidR="009B0A7A" w:rsidRDefault="003B2279" w:rsidP="009B0A7A">
      <w:pPr>
        <w:ind w:right="-2"/>
        <w:rPr>
          <w:rFonts w:ascii="Arial" w:hAnsi="Arial" w:cs="Arial"/>
        </w:rPr>
      </w:pPr>
      <w:r w:rsidRPr="009B0A7A">
        <w:rPr>
          <w:noProof/>
        </w:rPr>
        <w:drawing>
          <wp:inline distT="0" distB="0" distL="0" distR="0" wp14:anchorId="354DC1E6" wp14:editId="0314694D">
            <wp:extent cx="5753735" cy="48482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4848225"/>
                    </a:xfrm>
                    <a:prstGeom prst="rect">
                      <a:avLst/>
                    </a:prstGeom>
                    <a:noFill/>
                    <a:ln>
                      <a:noFill/>
                    </a:ln>
                  </pic:spPr>
                </pic:pic>
              </a:graphicData>
            </a:graphic>
          </wp:inline>
        </w:drawing>
      </w:r>
    </w:p>
    <w:p w:rsidR="009B0A7A" w:rsidRDefault="009B0A7A" w:rsidP="00DA0B00">
      <w:pPr>
        <w:ind w:right="-2" w:firstLine="708"/>
        <w:rPr>
          <w:rFonts w:ascii="Arial" w:hAnsi="Arial" w:cs="Arial"/>
        </w:rPr>
      </w:pPr>
    </w:p>
    <w:p w:rsidR="00DA0B00" w:rsidRDefault="003B2279" w:rsidP="00DA0B00">
      <w:pPr>
        <w:ind w:right="-2"/>
        <w:jc w:val="center"/>
        <w:rPr>
          <w:rFonts w:ascii="Arial" w:hAnsi="Arial" w:cs="Arial"/>
        </w:rPr>
      </w:pPr>
      <w:r w:rsidRPr="009B0A7A">
        <w:rPr>
          <w:noProof/>
        </w:rPr>
        <w:drawing>
          <wp:inline distT="0" distB="0" distL="0" distR="0" wp14:anchorId="41187328" wp14:editId="6206AA9C">
            <wp:extent cx="5753735" cy="20701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735" cy="2070100"/>
                    </a:xfrm>
                    <a:prstGeom prst="rect">
                      <a:avLst/>
                    </a:prstGeom>
                    <a:noFill/>
                    <a:ln>
                      <a:noFill/>
                    </a:ln>
                  </pic:spPr>
                </pic:pic>
              </a:graphicData>
            </a:graphic>
          </wp:inline>
        </w:drawing>
      </w:r>
    </w:p>
    <w:p w:rsidR="00DA0B00" w:rsidRPr="00B84F38" w:rsidRDefault="00DA0B00" w:rsidP="00DA0B00">
      <w:pPr>
        <w:ind w:right="-2" w:firstLine="708"/>
        <w:rPr>
          <w:rFonts w:ascii="Arial" w:hAnsi="Arial" w:cs="Arial"/>
        </w:rPr>
      </w:pPr>
    </w:p>
    <w:p w:rsidR="00DA0B00" w:rsidRPr="00AB159F" w:rsidRDefault="00DA0B00" w:rsidP="00DA0B00">
      <w:pPr>
        <w:ind w:firstLine="709"/>
        <w:rPr>
          <w:rFonts w:ascii="Arial" w:hAnsi="Arial" w:cs="Arial"/>
        </w:rPr>
      </w:pPr>
      <w:r w:rsidRPr="00B84F38">
        <w:rPr>
          <w:rFonts w:ascii="Arial" w:hAnsi="Arial" w:cs="Arial"/>
        </w:rPr>
        <w:t xml:space="preserve">Geologický průzkum na lokalitách bude postupně realizován ve třech </w:t>
      </w:r>
      <w:r>
        <w:rPr>
          <w:rFonts w:ascii="Arial" w:hAnsi="Arial" w:cs="Arial"/>
        </w:rPr>
        <w:t>fázích</w:t>
      </w:r>
      <w:r w:rsidRPr="00B84F38">
        <w:rPr>
          <w:rFonts w:ascii="Arial" w:hAnsi="Arial" w:cs="Arial"/>
        </w:rPr>
        <w:t xml:space="preserve">, </w:t>
      </w:r>
      <w:r>
        <w:rPr>
          <w:rFonts w:ascii="Arial" w:hAnsi="Arial" w:cs="Arial"/>
        </w:rPr>
        <w:t xml:space="preserve">s postupnou redukcí počtu lokalit, </w:t>
      </w:r>
      <w:r w:rsidRPr="00B84F38">
        <w:rPr>
          <w:rFonts w:ascii="Arial" w:hAnsi="Arial" w:cs="Arial"/>
        </w:rPr>
        <w:t>přičemž v první fázi proběhne povrchový geologický průzkum bez technických prací. Bude se jednat především o ověření průběhu křehkých struktur v horninovém prostředí pomocí metod geologického mapování, strukturní analýzy, geofyzikálních měření, plošné geochemie, syntézy hydrogeologických a</w:t>
      </w:r>
      <w:r>
        <w:rPr>
          <w:rFonts w:ascii="Arial" w:hAnsi="Arial" w:cs="Arial"/>
        </w:rPr>
        <w:t> </w:t>
      </w:r>
      <w:r w:rsidRPr="00B84F38">
        <w:rPr>
          <w:rFonts w:ascii="Arial" w:hAnsi="Arial" w:cs="Arial"/>
        </w:rPr>
        <w:t>geochemických informací. V této fázi bude využito velké množství již existujících dat</w:t>
      </w:r>
      <w:r>
        <w:rPr>
          <w:rFonts w:ascii="Arial" w:hAnsi="Arial" w:cs="Arial"/>
        </w:rPr>
        <w:t xml:space="preserve"> a jejich verifikace terénními metodami</w:t>
      </w:r>
      <w:r w:rsidRPr="00B84F38">
        <w:rPr>
          <w:rFonts w:ascii="Arial" w:hAnsi="Arial" w:cs="Arial"/>
        </w:rPr>
        <w:t xml:space="preserve">. V druhé fázi bude prováděn na vybraných lokalitách (3 až </w:t>
      </w:r>
      <w:r w:rsidR="008D21C9">
        <w:rPr>
          <w:rFonts w:ascii="Arial" w:hAnsi="Arial" w:cs="Arial"/>
        </w:rPr>
        <w:t>4</w:t>
      </w:r>
      <w:r w:rsidRPr="00B84F38">
        <w:rPr>
          <w:rFonts w:ascii="Arial" w:hAnsi="Arial" w:cs="Arial"/>
        </w:rPr>
        <w:t xml:space="preserve">) geologický průzkum včetně hlubinných vrtů </w:t>
      </w:r>
      <w:r w:rsidR="008D21C9">
        <w:rPr>
          <w:rFonts w:ascii="Arial" w:hAnsi="Arial" w:cs="Arial"/>
        </w:rPr>
        <w:t xml:space="preserve">(první etapa charakterizace lokalit) </w:t>
      </w:r>
      <w:r w:rsidRPr="00B84F38">
        <w:rPr>
          <w:rFonts w:ascii="Arial" w:hAnsi="Arial" w:cs="Arial"/>
        </w:rPr>
        <w:t xml:space="preserve">a v třetí fázi </w:t>
      </w:r>
      <w:r>
        <w:rPr>
          <w:rFonts w:ascii="Arial" w:hAnsi="Arial" w:cs="Arial"/>
        </w:rPr>
        <w:t xml:space="preserve">proběhne </w:t>
      </w:r>
      <w:r w:rsidRPr="00B84F38">
        <w:rPr>
          <w:rFonts w:ascii="Arial" w:hAnsi="Arial" w:cs="Arial"/>
        </w:rPr>
        <w:t xml:space="preserve">podrobná geologická charakterizace dvou </w:t>
      </w:r>
      <w:r>
        <w:rPr>
          <w:rFonts w:ascii="Arial" w:hAnsi="Arial" w:cs="Arial"/>
        </w:rPr>
        <w:t xml:space="preserve">kandidátních </w:t>
      </w:r>
      <w:r w:rsidRPr="00B84F38">
        <w:rPr>
          <w:rFonts w:ascii="Arial" w:hAnsi="Arial" w:cs="Arial"/>
        </w:rPr>
        <w:t>lokalit</w:t>
      </w:r>
      <w:r>
        <w:rPr>
          <w:rFonts w:ascii="Arial" w:hAnsi="Arial" w:cs="Arial"/>
        </w:rPr>
        <w:t>. V současné době jsou realizovány pracovníky S</w:t>
      </w:r>
      <w:r w:rsidR="00896259">
        <w:rPr>
          <w:rFonts w:ascii="Arial" w:hAnsi="Arial" w:cs="Arial"/>
        </w:rPr>
        <w:t>právy</w:t>
      </w:r>
      <w:r>
        <w:rPr>
          <w:rFonts w:ascii="Arial" w:hAnsi="Arial" w:cs="Arial"/>
        </w:rPr>
        <w:t xml:space="preserve"> iniciální rekognoskační terénní práce.</w:t>
      </w:r>
    </w:p>
    <w:p w:rsidR="00DA0B00" w:rsidRPr="002E33C8" w:rsidRDefault="00DA0B00" w:rsidP="00DA0B00">
      <w:pPr>
        <w:ind w:firstLine="709"/>
        <w:rPr>
          <w:rFonts w:ascii="Arial" w:hAnsi="Arial" w:cs="Arial"/>
        </w:rPr>
      </w:pPr>
      <w:r w:rsidRPr="00CE3869">
        <w:rPr>
          <w:rFonts w:ascii="Arial" w:hAnsi="Arial" w:cs="Arial"/>
        </w:rPr>
        <w:t>Česká legislativa v oblasti nakládání s</w:t>
      </w:r>
      <w:r>
        <w:rPr>
          <w:rFonts w:ascii="Arial" w:hAnsi="Arial" w:cs="Arial"/>
        </w:rPr>
        <w:t> </w:t>
      </w:r>
      <w:r w:rsidRPr="00CE3869">
        <w:rPr>
          <w:rFonts w:ascii="Arial" w:hAnsi="Arial" w:cs="Arial"/>
        </w:rPr>
        <w:t>VJP</w:t>
      </w:r>
      <w:r>
        <w:rPr>
          <w:rFonts w:ascii="Arial" w:hAnsi="Arial" w:cs="Arial"/>
        </w:rPr>
        <w:t xml:space="preserve"> </w:t>
      </w:r>
      <w:r w:rsidRPr="00CE3869">
        <w:rPr>
          <w:rFonts w:ascii="Arial" w:hAnsi="Arial" w:cs="Arial"/>
        </w:rPr>
        <w:t xml:space="preserve">a RAO vyžaduje řadu správních řízení, některá s účastí veřejnosti. Je žádoucí, aby se ke všem rozhodujícím správním krokům veřejnost mohla vyjádřit. Důležitým nástrojem pro vyjádření názoru veřejnosti je především posuzování vlivů na životní prostředí, kde zapojení veřejnosti je součástí správního procesu. Za nejdůležitější aspekt účasti veřejnosti však </w:t>
      </w:r>
      <w:r>
        <w:rPr>
          <w:rFonts w:ascii="Arial" w:hAnsi="Arial" w:cs="Arial"/>
        </w:rPr>
        <w:t xml:space="preserve">Správa považuje </w:t>
      </w:r>
      <w:r w:rsidRPr="00CE3869">
        <w:rPr>
          <w:rFonts w:ascii="Arial" w:hAnsi="Arial" w:cs="Arial"/>
        </w:rPr>
        <w:t>otevřený a transparentní způsob komunikace a vytvoření dlouhodobého programu partnerství S</w:t>
      </w:r>
      <w:r>
        <w:rPr>
          <w:rFonts w:ascii="Arial" w:hAnsi="Arial" w:cs="Arial"/>
        </w:rPr>
        <w:t>právy</w:t>
      </w:r>
      <w:r w:rsidRPr="00CE3869">
        <w:rPr>
          <w:rFonts w:ascii="Arial" w:hAnsi="Arial" w:cs="Arial"/>
        </w:rPr>
        <w:t xml:space="preserve"> a obcí ovlivněných přípravou </w:t>
      </w:r>
      <w:r>
        <w:rPr>
          <w:rFonts w:ascii="Arial" w:hAnsi="Arial" w:cs="Arial"/>
        </w:rPr>
        <w:t>HÚ</w:t>
      </w:r>
      <w:r w:rsidRPr="00CE3869">
        <w:rPr>
          <w:rFonts w:ascii="Arial" w:hAnsi="Arial" w:cs="Arial"/>
        </w:rPr>
        <w:t>.</w:t>
      </w:r>
    </w:p>
    <w:p w:rsidR="00DA0B00" w:rsidRPr="002E33C8" w:rsidRDefault="00DA0B00" w:rsidP="00DA0B00">
      <w:pPr>
        <w:pStyle w:val="Normlnsmezerou0"/>
        <w:spacing w:before="0" w:after="0"/>
      </w:pPr>
      <w:r>
        <w:t>S prohlubující se mírou znalostí, jak tuzemských, tak mezinárodních, p</w:t>
      </w:r>
      <w:r w:rsidRPr="00B84F38">
        <w:t>robíhá rovněž aktualizace upřesňujících požadavků, podmínek a kritérií, potřebných pro transparentní výběr kandidátníc</w:t>
      </w:r>
      <w:r w:rsidRPr="00AB159F">
        <w:t xml:space="preserve">h lokalit pro </w:t>
      </w:r>
      <w:r>
        <w:t xml:space="preserve">HÚ. </w:t>
      </w:r>
      <w:r w:rsidRPr="00AB159F">
        <w:t>Výběr lokality pro</w:t>
      </w:r>
      <w:r w:rsidRPr="002E33C8">
        <w:t xml:space="preserve"> </w:t>
      </w:r>
      <w:r>
        <w:t>HÚ</w:t>
      </w:r>
      <w:r w:rsidRPr="002E33C8">
        <w:t xml:space="preserve"> bude prováděn podle komplexních kritérií a požadavků, vyplývajících jak ze stávající legislativy ČR, tak i z mezinárodních doporučení MAAE a NEA/OECD. </w:t>
      </w:r>
    </w:p>
    <w:p w:rsidR="00DA0B00" w:rsidRDefault="00DA0B00" w:rsidP="00DA0B00">
      <w:pPr>
        <w:pStyle w:val="Normlnsmezerou0"/>
        <w:spacing w:before="0" w:after="0"/>
        <w:rPr>
          <w:highlight w:val="yellow"/>
        </w:rPr>
      </w:pPr>
    </w:p>
    <w:p w:rsidR="00DA0B00" w:rsidRPr="002E33C8" w:rsidRDefault="00DA0B00" w:rsidP="00DA0B00">
      <w:pPr>
        <w:pStyle w:val="Nadpis2"/>
        <w:numPr>
          <w:ilvl w:val="0"/>
          <w:numId w:val="0"/>
        </w:numPr>
        <w:tabs>
          <w:tab w:val="clear" w:pos="851"/>
          <w:tab w:val="left" w:pos="709"/>
        </w:tabs>
        <w:rPr>
          <w:rFonts w:ascii="Arial" w:hAnsi="Arial" w:cs="Arial"/>
        </w:rPr>
      </w:pPr>
      <w:bookmarkStart w:id="95" w:name="_Toc300153304"/>
      <w:bookmarkStart w:id="96" w:name="_Toc453575860"/>
      <w:r w:rsidRPr="002E33C8">
        <w:rPr>
          <w:rFonts w:ascii="Arial" w:hAnsi="Arial" w:cs="Arial"/>
        </w:rPr>
        <w:t>3.2</w:t>
      </w:r>
      <w:r w:rsidRPr="002E33C8">
        <w:rPr>
          <w:rFonts w:ascii="Arial" w:hAnsi="Arial" w:cs="Arial"/>
        </w:rPr>
        <w:tab/>
        <w:t>Projektové a výzkumné činnosti</w:t>
      </w:r>
      <w:bookmarkEnd w:id="95"/>
      <w:bookmarkEnd w:id="96"/>
    </w:p>
    <w:p w:rsidR="00DA0B00" w:rsidRPr="002E33C8" w:rsidRDefault="00DA0B00" w:rsidP="00DA0B00">
      <w:pPr>
        <w:ind w:firstLine="708"/>
        <w:rPr>
          <w:rFonts w:ascii="Arial" w:hAnsi="Arial" w:cs="Arial"/>
        </w:rPr>
      </w:pPr>
    </w:p>
    <w:p w:rsidR="00DA0B00" w:rsidRPr="00AB159F" w:rsidRDefault="00DA0B00" w:rsidP="00DA0B00">
      <w:pPr>
        <w:ind w:firstLine="708"/>
        <w:rPr>
          <w:rFonts w:ascii="Arial" w:hAnsi="Arial" w:cs="Arial"/>
        </w:rPr>
      </w:pPr>
      <w:r w:rsidRPr="002E33C8">
        <w:rPr>
          <w:rFonts w:ascii="Arial" w:hAnsi="Arial" w:cs="Arial"/>
        </w:rPr>
        <w:t>Součástí programu přípravy HÚ a výběru vhodné lokality je i vypracování celkového projektového řešení úložiště, návrhu úložného systému splňujícího požadavky dlouhodobé bezpečnosti v souladu s chováním hostitelského prostředí</w:t>
      </w:r>
      <w:r w:rsidRPr="00FA50F2">
        <w:rPr>
          <w:rFonts w:ascii="Arial" w:hAnsi="Arial" w:cs="Arial"/>
        </w:rPr>
        <w:t xml:space="preserve"> </w:t>
      </w:r>
      <w:r>
        <w:rPr>
          <w:rFonts w:ascii="Arial" w:hAnsi="Arial" w:cs="Arial"/>
        </w:rPr>
        <w:t>a ověření tohoto sytému zejména z hlediska zajištění dlouhodobé bezpečnosti</w:t>
      </w:r>
      <w:r w:rsidRPr="002E33C8">
        <w:rPr>
          <w:rFonts w:ascii="Arial" w:hAnsi="Arial" w:cs="Arial"/>
        </w:rPr>
        <w:t>. Paralelně s výběrem lokality tak probíhají vývojové práce v oblasti návrhu a ověření dlouhodobého chování inženýrských bariér (ukládací kontejnery, těsnicí a výplňové materiály) a chování horninového masivu v návaznosti na jeho ovlivnění uloženým VJP. K tomu jsou využíván</w:t>
      </w:r>
      <w:r>
        <w:rPr>
          <w:rFonts w:ascii="Arial" w:hAnsi="Arial" w:cs="Arial"/>
        </w:rPr>
        <w:t>y</w:t>
      </w:r>
      <w:r w:rsidRPr="002E33C8">
        <w:rPr>
          <w:rFonts w:ascii="Arial" w:hAnsi="Arial" w:cs="Arial"/>
        </w:rPr>
        <w:t xml:space="preserve"> jak laboratorní měření a výzkumy, tak i výzkumy v podzemních laboratořích.</w:t>
      </w:r>
      <w:r>
        <w:rPr>
          <w:rFonts w:ascii="Arial" w:hAnsi="Arial" w:cs="Arial"/>
        </w:rPr>
        <w:t xml:space="preserve"> </w:t>
      </w:r>
      <w:r w:rsidRPr="00B84F38">
        <w:rPr>
          <w:rFonts w:ascii="Arial" w:hAnsi="Arial" w:cs="Arial"/>
        </w:rPr>
        <w:t>Důležitou roli při rozhodování o technickém řešení HÚ a</w:t>
      </w:r>
      <w:r>
        <w:rPr>
          <w:rFonts w:ascii="Arial" w:hAnsi="Arial" w:cs="Arial"/>
        </w:rPr>
        <w:t> </w:t>
      </w:r>
      <w:r w:rsidRPr="00B84F38">
        <w:rPr>
          <w:rFonts w:ascii="Arial" w:hAnsi="Arial" w:cs="Arial"/>
        </w:rPr>
        <w:t xml:space="preserve">o jeho nákladech na budoucích posuzovaných lokalitách </w:t>
      </w:r>
      <w:r>
        <w:rPr>
          <w:rFonts w:ascii="Arial" w:hAnsi="Arial" w:cs="Arial"/>
        </w:rPr>
        <w:t>má</w:t>
      </w:r>
      <w:r w:rsidRPr="00B84F38">
        <w:rPr>
          <w:rFonts w:ascii="Arial" w:hAnsi="Arial" w:cs="Arial"/>
        </w:rPr>
        <w:t xml:space="preserve"> projektové řešení HÚ</w:t>
      </w:r>
      <w:r w:rsidRPr="008E5063">
        <w:rPr>
          <w:rFonts w:ascii="Arial" w:hAnsi="Arial" w:cs="Arial"/>
        </w:rPr>
        <w:t>,</w:t>
      </w:r>
      <w:r w:rsidRPr="00C06ED7">
        <w:rPr>
          <w:rFonts w:ascii="Arial" w:hAnsi="Arial" w:cs="Arial"/>
        </w:rPr>
        <w:t xml:space="preserve"> </w:t>
      </w:r>
      <w:r w:rsidRPr="006D5287">
        <w:rPr>
          <w:rFonts w:ascii="Arial" w:hAnsi="Arial" w:cs="Arial"/>
        </w:rPr>
        <w:t>jeho ověření z hlediska bezpečnosti</w:t>
      </w:r>
      <w:r w:rsidRPr="00B84F38">
        <w:rPr>
          <w:rFonts w:ascii="Arial" w:hAnsi="Arial" w:cs="Arial"/>
        </w:rPr>
        <w:t xml:space="preserve"> a posouzení vlivu jeho výstavby, provozu i</w:t>
      </w:r>
      <w:r>
        <w:rPr>
          <w:rFonts w:ascii="Arial" w:hAnsi="Arial" w:cs="Arial"/>
        </w:rPr>
        <w:t> </w:t>
      </w:r>
      <w:r w:rsidRPr="00B84F38">
        <w:rPr>
          <w:rFonts w:ascii="Arial" w:hAnsi="Arial" w:cs="Arial"/>
        </w:rPr>
        <w:t>uzavření na životní prostředí.</w:t>
      </w:r>
      <w:r w:rsidRPr="00AB159F">
        <w:rPr>
          <w:rFonts w:ascii="Arial" w:hAnsi="Arial" w:cs="Arial"/>
        </w:rPr>
        <w:t xml:space="preserve"> </w:t>
      </w:r>
      <w:r w:rsidRPr="00A34CB8">
        <w:rPr>
          <w:rFonts w:ascii="Arial" w:hAnsi="Arial" w:cs="Arial"/>
        </w:rPr>
        <w:t>Proto Správa</w:t>
      </w:r>
      <w:r>
        <w:rPr>
          <w:rFonts w:ascii="Arial" w:hAnsi="Arial" w:cs="Arial"/>
        </w:rPr>
        <w:t>, zejména</w:t>
      </w:r>
      <w:r w:rsidRPr="00AB159F">
        <w:rPr>
          <w:rFonts w:ascii="Arial" w:hAnsi="Arial" w:cs="Arial"/>
        </w:rPr>
        <w:t xml:space="preserve"> prostřednictvím </w:t>
      </w:r>
      <w:r>
        <w:rPr>
          <w:rFonts w:ascii="Arial" w:hAnsi="Arial" w:cs="Arial"/>
        </w:rPr>
        <w:t xml:space="preserve">systému dodavatelských služeb, </w:t>
      </w:r>
      <w:r w:rsidRPr="0016668B">
        <w:rPr>
          <w:rFonts w:ascii="Arial" w:hAnsi="Arial" w:cs="Arial"/>
        </w:rPr>
        <w:t>realizuje</w:t>
      </w:r>
      <w:r>
        <w:rPr>
          <w:rFonts w:ascii="Arial" w:hAnsi="Arial" w:cs="Arial"/>
        </w:rPr>
        <w:t xml:space="preserve"> řadu výzkumných projektů, včetně výzkumů realizovaných v podzemních pracovištích</w:t>
      </w:r>
      <w:r w:rsidR="008D21C9">
        <w:rPr>
          <w:rFonts w:ascii="Arial" w:hAnsi="Arial" w:cs="Arial"/>
        </w:rPr>
        <w:t xml:space="preserve">. Nejvýznamnější práce, zaměřené na získání dat, argumentů a konkrétních charakteristik k prokázání proveditelnosti úložiště a doložení jeho dlouhodobé bezpečnosti, probíhají v </w:t>
      </w:r>
      <w:r>
        <w:rPr>
          <w:rFonts w:ascii="Arial" w:hAnsi="Arial" w:cs="Arial"/>
        </w:rPr>
        <w:t>Podzemní</w:t>
      </w:r>
      <w:r w:rsidR="008D21C9">
        <w:rPr>
          <w:rFonts w:ascii="Arial" w:hAnsi="Arial" w:cs="Arial"/>
        </w:rPr>
        <w:t>m</w:t>
      </w:r>
      <w:r>
        <w:rPr>
          <w:rFonts w:ascii="Arial" w:hAnsi="Arial" w:cs="Arial"/>
        </w:rPr>
        <w:t xml:space="preserve"> výzkumné</w:t>
      </w:r>
      <w:r w:rsidR="008D21C9">
        <w:rPr>
          <w:rFonts w:ascii="Arial" w:hAnsi="Arial" w:cs="Arial"/>
        </w:rPr>
        <w:t>m</w:t>
      </w:r>
      <w:r>
        <w:rPr>
          <w:rFonts w:ascii="Arial" w:hAnsi="Arial" w:cs="Arial"/>
        </w:rPr>
        <w:t xml:space="preserve"> pracovišt</w:t>
      </w:r>
      <w:r w:rsidR="008D21C9">
        <w:rPr>
          <w:rFonts w:ascii="Arial" w:hAnsi="Arial" w:cs="Arial"/>
        </w:rPr>
        <w:t>i</w:t>
      </w:r>
      <w:r>
        <w:rPr>
          <w:rFonts w:ascii="Arial" w:hAnsi="Arial" w:cs="Arial"/>
        </w:rPr>
        <w:t xml:space="preserve"> Bukov</w:t>
      </w:r>
      <w:r w:rsidR="008D21C9">
        <w:rPr>
          <w:rFonts w:ascii="Arial" w:hAnsi="Arial" w:cs="Arial"/>
        </w:rPr>
        <w:t xml:space="preserve">. Další práce, zaměřené na demonstrovatelnost technologií výstavby úložiště ve </w:t>
      </w:r>
      <w:r>
        <w:rPr>
          <w:rFonts w:ascii="Arial" w:hAnsi="Arial" w:cs="Arial"/>
        </w:rPr>
        <w:t>štol</w:t>
      </w:r>
      <w:r w:rsidR="008D21C9">
        <w:rPr>
          <w:rFonts w:ascii="Arial" w:hAnsi="Arial" w:cs="Arial"/>
        </w:rPr>
        <w:t xml:space="preserve">e Josef, provozovanou ČVUT. Obě tato pracoviště přispívají </w:t>
      </w:r>
      <w:r>
        <w:rPr>
          <w:rFonts w:ascii="Arial" w:hAnsi="Arial" w:cs="Arial"/>
        </w:rPr>
        <w:t>k prokázání, že technické řešení, výstavba, provoz, ale i období po uzavření HÚ bude ve vybrané lokalitě bezpečné, nezatíží významně okolní krajinu a bude socio-ekonomicky akceptovatelné.</w:t>
      </w:r>
    </w:p>
    <w:p w:rsidR="00DA0B00" w:rsidRPr="00360F58" w:rsidRDefault="00DA0B00" w:rsidP="00DA0B00">
      <w:pPr>
        <w:ind w:firstLine="708"/>
        <w:rPr>
          <w:rFonts w:ascii="Arial" w:hAnsi="Arial" w:cs="Arial"/>
        </w:rPr>
      </w:pPr>
      <w:r w:rsidRPr="00B84F38">
        <w:rPr>
          <w:rFonts w:ascii="Arial" w:hAnsi="Arial" w:cs="Arial"/>
          <w:kern w:val="28"/>
        </w:rPr>
        <w:t xml:space="preserve">Velmi důležitým aspektem výzkumu a vývoje v oblasti přípravy </w:t>
      </w:r>
      <w:r>
        <w:rPr>
          <w:rFonts w:ascii="Arial" w:hAnsi="Arial" w:cs="Arial"/>
          <w:kern w:val="28"/>
        </w:rPr>
        <w:t>HÚ</w:t>
      </w:r>
      <w:r w:rsidRPr="00B84F38">
        <w:rPr>
          <w:rFonts w:ascii="Arial" w:hAnsi="Arial" w:cs="Arial"/>
          <w:kern w:val="28"/>
        </w:rPr>
        <w:t xml:space="preserve"> je mezinárodní spolupráce. Řada zemí je v této oblasti mnohem dále než Česká republika (Švédsko, Finsko, Francie, Švýcarsko atd.). Společnými výzkumnými aktivitami na bilaterální či mezinárodní úrovni</w:t>
      </w:r>
      <w:r>
        <w:rPr>
          <w:rFonts w:ascii="Arial" w:hAnsi="Arial" w:cs="Arial"/>
          <w:kern w:val="28"/>
        </w:rPr>
        <w:t>,</w:t>
      </w:r>
      <w:r w:rsidRPr="00B84F38">
        <w:rPr>
          <w:rFonts w:ascii="Arial" w:hAnsi="Arial" w:cs="Arial"/>
          <w:kern w:val="28"/>
        </w:rPr>
        <w:t xml:space="preserve"> využíváním společných zdrojů a</w:t>
      </w:r>
      <w:r w:rsidR="00E24F6B">
        <w:rPr>
          <w:rFonts w:ascii="Arial" w:hAnsi="Arial" w:cs="Arial"/>
          <w:kern w:val="28"/>
        </w:rPr>
        <w:t> </w:t>
      </w:r>
      <w:r w:rsidRPr="00B84F38">
        <w:rPr>
          <w:rFonts w:ascii="Arial" w:hAnsi="Arial" w:cs="Arial"/>
          <w:kern w:val="28"/>
        </w:rPr>
        <w:t>poznatků, zejména evropských rámcových programů výzkumu a vývoje, je proto možné získat výsledky podstatně rychleji než vlastním výzkumem. Významné bylo zejména vytvoření technologické platformy IGD-TP (Implementing Geological Disposal – Technology Platform</w:t>
      </w:r>
      <w:r>
        <w:rPr>
          <w:rFonts w:ascii="Arial" w:hAnsi="Arial" w:cs="Arial"/>
          <w:kern w:val="28"/>
        </w:rPr>
        <w:t>)</w:t>
      </w:r>
      <w:r w:rsidRPr="00B84F38">
        <w:rPr>
          <w:rFonts w:ascii="Arial" w:hAnsi="Arial" w:cs="Arial"/>
          <w:kern w:val="28"/>
        </w:rPr>
        <w:t>.</w:t>
      </w:r>
    </w:p>
    <w:p w:rsidR="00DA0B00" w:rsidRDefault="00DA0B00" w:rsidP="00DA0B00">
      <w:pPr>
        <w:ind w:firstLine="708"/>
        <w:rPr>
          <w:rFonts w:ascii="Arial" w:hAnsi="Arial" w:cs="Arial"/>
          <w:kern w:val="28"/>
        </w:rPr>
      </w:pPr>
      <w:r w:rsidRPr="00B84F38">
        <w:rPr>
          <w:rFonts w:ascii="Arial" w:hAnsi="Arial" w:cs="Arial"/>
          <w:kern w:val="28"/>
        </w:rPr>
        <w:t>V souvislosti s intenzifikací prací k výběru dvou kandidátních lokalit a výběru finální lokality, které musí být v souladu s mezinárodními smlouvami podloženy pozitivním zjištěním mezinárodního posouzení, bude participace Správy a dalších českých organizací v oblasti mezinárodní spolupráce ve vývoji HÚ podporována a</w:t>
      </w:r>
      <w:r>
        <w:rPr>
          <w:rFonts w:ascii="Arial" w:hAnsi="Arial" w:cs="Arial"/>
          <w:kern w:val="28"/>
        </w:rPr>
        <w:t> </w:t>
      </w:r>
      <w:r w:rsidRPr="00B84F38">
        <w:rPr>
          <w:rFonts w:ascii="Arial" w:hAnsi="Arial" w:cs="Arial"/>
          <w:kern w:val="28"/>
        </w:rPr>
        <w:t>rozš</w:t>
      </w:r>
      <w:r>
        <w:rPr>
          <w:rFonts w:ascii="Arial" w:hAnsi="Arial" w:cs="Arial"/>
          <w:kern w:val="28"/>
        </w:rPr>
        <w:t>iřována</w:t>
      </w:r>
      <w:r w:rsidRPr="00B84F38">
        <w:rPr>
          <w:rFonts w:ascii="Arial" w:hAnsi="Arial" w:cs="Arial"/>
          <w:kern w:val="28"/>
        </w:rPr>
        <w:t>.</w:t>
      </w:r>
    </w:p>
    <w:p w:rsidR="00DA0B00" w:rsidRDefault="00DA0B00" w:rsidP="00DA0B00">
      <w:pPr>
        <w:ind w:firstLine="708"/>
        <w:rPr>
          <w:rFonts w:ascii="Arial" w:hAnsi="Arial" w:cs="Arial"/>
          <w:kern w:val="28"/>
        </w:rPr>
      </w:pPr>
    </w:p>
    <w:p w:rsidR="00DA0B00" w:rsidRPr="002E33C8" w:rsidRDefault="00DA0B00" w:rsidP="00DA0B00">
      <w:pPr>
        <w:pStyle w:val="Nadpis2"/>
        <w:numPr>
          <w:ilvl w:val="0"/>
          <w:numId w:val="0"/>
        </w:numPr>
        <w:tabs>
          <w:tab w:val="clear" w:pos="851"/>
          <w:tab w:val="left" w:pos="709"/>
        </w:tabs>
        <w:rPr>
          <w:rFonts w:ascii="Arial" w:hAnsi="Arial" w:cs="Arial"/>
        </w:rPr>
      </w:pPr>
      <w:bookmarkStart w:id="97" w:name="_Toc453575861"/>
      <w:r w:rsidRPr="002E33C8">
        <w:rPr>
          <w:rFonts w:ascii="Arial" w:hAnsi="Arial" w:cs="Arial"/>
        </w:rPr>
        <w:t>3.</w:t>
      </w:r>
      <w:r>
        <w:rPr>
          <w:rFonts w:ascii="Arial" w:hAnsi="Arial" w:cs="Arial"/>
        </w:rPr>
        <w:t>3</w:t>
      </w:r>
      <w:r w:rsidRPr="002E33C8">
        <w:rPr>
          <w:rFonts w:ascii="Arial" w:hAnsi="Arial" w:cs="Arial"/>
        </w:rPr>
        <w:tab/>
        <w:t>P</w:t>
      </w:r>
      <w:r>
        <w:rPr>
          <w:rFonts w:ascii="Arial" w:hAnsi="Arial" w:cs="Arial"/>
        </w:rPr>
        <w:t>odzemní výzkumné pracoviště Bukov</w:t>
      </w:r>
      <w:bookmarkEnd w:id="97"/>
    </w:p>
    <w:p w:rsidR="00DA0B00" w:rsidRDefault="00DA0B00" w:rsidP="00DA0B00">
      <w:pPr>
        <w:ind w:firstLine="708"/>
        <w:rPr>
          <w:rFonts w:ascii="Arial" w:hAnsi="Arial" w:cs="Arial"/>
          <w:kern w:val="28"/>
        </w:rPr>
      </w:pPr>
    </w:p>
    <w:p w:rsidR="00DA0B00" w:rsidRPr="00677376" w:rsidRDefault="00DA0B00" w:rsidP="00DA0B00">
      <w:pPr>
        <w:ind w:firstLine="708"/>
        <w:rPr>
          <w:rFonts w:ascii="Arial" w:hAnsi="Arial" w:cs="Arial"/>
          <w:kern w:val="28"/>
        </w:rPr>
      </w:pPr>
      <w:r w:rsidRPr="00677376">
        <w:rPr>
          <w:rFonts w:ascii="Arial" w:hAnsi="Arial" w:cs="Arial"/>
          <w:kern w:val="28"/>
        </w:rPr>
        <w:t xml:space="preserve">Výběr lokality HÚ v prvotních fázích je zatížen vysokými nejistotami z důvodů absence dat z reálné hloubky úložiště a v případě ČR i nedostatkem relevantních dat pro potřeby bezpečnostních rozborů na lokalitách z krystalinického prostředí obecně. </w:t>
      </w:r>
    </w:p>
    <w:p w:rsidR="00DA0B00" w:rsidRPr="00677376" w:rsidRDefault="00DA0B00" w:rsidP="00DA0B00">
      <w:pPr>
        <w:ind w:firstLine="708"/>
        <w:rPr>
          <w:rFonts w:ascii="Arial" w:hAnsi="Arial" w:cs="Arial"/>
          <w:kern w:val="28"/>
        </w:rPr>
      </w:pPr>
      <w:r w:rsidRPr="00677376">
        <w:rPr>
          <w:rFonts w:ascii="Arial" w:hAnsi="Arial" w:cs="Arial"/>
          <w:kern w:val="28"/>
        </w:rPr>
        <w:t>Aby bylo možné věrohodně prokázat, že navržený koncept hlubinného úložiště je bezpečný a proveditelný již v této fázi výběru lokalit (nejbližší termín je zúžení počtu lokalit na 4), znamená to pochopit a popsat procesy probíhající v odpovídající hloubce, a získat informace, data a argumenty, které budou pro výše uvedená vyhodnocení potřebná. Samotný laboratorní experimentální program a terénní průzkum ze své podstaty nebudou dostačující, a to z důvodu nemožnosti dosažení skutečných podmínek v hloubce úložiště, a omezení vyplývající z bodového rozsahu získávané terénní informace. Rovněž je nutné vzít v úvahu i to, že v případě hlubinného úložiště uvažujeme o procesech, které přesahují běžný a představitelný časový rámec (nutnost prokázání bezpečnosti na sto tisíc let). Z tohoto důvodu je potřebné výzkum a experimentální program v podzemí zahájit pokud možno co nejdříve, abychom využili pro tuto činnost maximum času v podmínkách blízkých v</w:t>
      </w:r>
      <w:r w:rsidR="00E24F6B">
        <w:rPr>
          <w:rFonts w:ascii="Arial" w:hAnsi="Arial" w:cs="Arial"/>
          <w:kern w:val="28"/>
        </w:rPr>
        <w:t> </w:t>
      </w:r>
      <w:r w:rsidRPr="00677376">
        <w:rPr>
          <w:rFonts w:ascii="Arial" w:hAnsi="Arial" w:cs="Arial"/>
          <w:kern w:val="28"/>
        </w:rPr>
        <w:t xml:space="preserve"> hlubinném úložišti.</w:t>
      </w:r>
    </w:p>
    <w:p w:rsidR="00DA0B00" w:rsidRPr="00677376" w:rsidRDefault="00DA0B00" w:rsidP="00DA0B00">
      <w:pPr>
        <w:ind w:firstLine="708"/>
        <w:rPr>
          <w:rFonts w:ascii="Arial" w:hAnsi="Arial" w:cs="Arial"/>
          <w:kern w:val="28"/>
        </w:rPr>
      </w:pPr>
      <w:r w:rsidRPr="00677376">
        <w:rPr>
          <w:rFonts w:ascii="Arial" w:hAnsi="Arial" w:cs="Arial"/>
          <w:kern w:val="28"/>
        </w:rPr>
        <w:t>Podzemní výzkumné pracoviště (PVP) Bukov je v současné době jedinou reálnou možností v ČR, jak tohoto cíle dosáhnout. Jedná se o jedinou terénní lokalitu s vyřešenými střety zájmů, kde S</w:t>
      </w:r>
      <w:r w:rsidR="00896259">
        <w:rPr>
          <w:rFonts w:ascii="Arial" w:hAnsi="Arial" w:cs="Arial"/>
          <w:kern w:val="28"/>
        </w:rPr>
        <w:t>práva</w:t>
      </w:r>
      <w:r w:rsidRPr="00677376">
        <w:rPr>
          <w:rFonts w:ascii="Arial" w:hAnsi="Arial" w:cs="Arial"/>
          <w:kern w:val="28"/>
        </w:rPr>
        <w:t xml:space="preserve"> může aktivně působit. </w:t>
      </w:r>
    </w:p>
    <w:p w:rsidR="00DA0B00" w:rsidRPr="00677376" w:rsidRDefault="00DA0B00" w:rsidP="00DA0B00">
      <w:pPr>
        <w:ind w:firstLine="708"/>
        <w:rPr>
          <w:rFonts w:ascii="Arial" w:hAnsi="Arial" w:cs="Arial"/>
          <w:kern w:val="28"/>
        </w:rPr>
      </w:pPr>
      <w:r w:rsidRPr="00677376">
        <w:rPr>
          <w:rFonts w:ascii="Arial" w:hAnsi="Arial" w:cs="Arial"/>
          <w:kern w:val="28"/>
        </w:rPr>
        <w:t>PVP, lokalizované v hloubce 550 m pod povrchem, bude sloužit jako generická lokalita pro výzkum a hodnocení v procesu přípravy hlubinného úložiště, zejména pro hodnocení chování horninového prostředí, ověření vyvíjených provozních technologií, zjišťování migračních parametrů apod. Práce prováděné v</w:t>
      </w:r>
      <w:r w:rsidR="00483B2B">
        <w:rPr>
          <w:rFonts w:ascii="Arial" w:hAnsi="Arial" w:cs="Arial"/>
          <w:kern w:val="28"/>
        </w:rPr>
        <w:t> </w:t>
      </w:r>
      <w:r w:rsidRPr="00677376">
        <w:rPr>
          <w:rFonts w:ascii="Arial" w:hAnsi="Arial" w:cs="Arial"/>
          <w:kern w:val="28"/>
        </w:rPr>
        <w:t>PVP Bukov přispívají k získání důležitých informací v oblastech, které byly popsány</w:t>
      </w:r>
      <w:r w:rsidR="00896259">
        <w:rPr>
          <w:rFonts w:ascii="Arial" w:hAnsi="Arial" w:cs="Arial"/>
          <w:kern w:val="28"/>
        </w:rPr>
        <w:t xml:space="preserve"> ve strategických dokumentech Správy</w:t>
      </w:r>
      <w:r w:rsidRPr="00677376">
        <w:rPr>
          <w:rFonts w:ascii="Arial" w:hAnsi="Arial" w:cs="Arial"/>
          <w:kern w:val="28"/>
        </w:rPr>
        <w:t xml:space="preserve"> Střednědobý plán výzkumu a vývoje HÚ (Pospíšková et al. 2015), Požadavky, indikátory vhodnosti a kritéria výběru lokalit pro umístění hlubinného úložiště (Vokál et al. 2015), a které jsou důležité nejen pro výběr finální lokality, ale zejména pro prokázání bezpečnosti a ověření a optimalizaci koncepčního technického řešení: </w:t>
      </w:r>
    </w:p>
    <w:p w:rsidR="00DA0B00" w:rsidRPr="00677376" w:rsidRDefault="00DA0B00" w:rsidP="00DA0B00">
      <w:pPr>
        <w:numPr>
          <w:ilvl w:val="0"/>
          <w:numId w:val="15"/>
        </w:numPr>
        <w:rPr>
          <w:rFonts w:ascii="Arial" w:hAnsi="Arial" w:cs="Arial"/>
          <w:kern w:val="28"/>
        </w:rPr>
      </w:pPr>
      <w:r>
        <w:rPr>
          <w:rFonts w:ascii="Arial" w:hAnsi="Arial" w:cs="Arial"/>
          <w:kern w:val="28"/>
        </w:rPr>
        <w:t>p</w:t>
      </w:r>
      <w:r w:rsidRPr="00677376">
        <w:rPr>
          <w:rFonts w:ascii="Arial" w:hAnsi="Arial" w:cs="Arial"/>
          <w:kern w:val="28"/>
        </w:rPr>
        <w:t>opis potenciálních lokalit a příprava 3D geologických, hydrogeologických a transportních modelů pomocí sběru archivních dat a výsledků geologického výzkumu a průzkumu;</w:t>
      </w:r>
    </w:p>
    <w:p w:rsidR="00DA0B00" w:rsidRPr="00677376" w:rsidRDefault="00DA0B00" w:rsidP="00DA0B00">
      <w:pPr>
        <w:numPr>
          <w:ilvl w:val="0"/>
          <w:numId w:val="15"/>
        </w:numPr>
        <w:rPr>
          <w:rFonts w:ascii="Arial" w:hAnsi="Arial" w:cs="Arial"/>
          <w:kern w:val="28"/>
        </w:rPr>
      </w:pPr>
      <w:r>
        <w:rPr>
          <w:rFonts w:ascii="Arial" w:hAnsi="Arial" w:cs="Arial"/>
          <w:kern w:val="28"/>
        </w:rPr>
        <w:t>z</w:t>
      </w:r>
      <w:r w:rsidRPr="00677376">
        <w:rPr>
          <w:rFonts w:ascii="Arial" w:hAnsi="Arial" w:cs="Arial"/>
          <w:kern w:val="28"/>
        </w:rPr>
        <w:t>ískání dat a informací potřebných pro predikci chování inženýrských bariér a možnosti uvolnění a transportu radionuklidů do životního prostředí;</w:t>
      </w:r>
    </w:p>
    <w:p w:rsidR="00DA0B00" w:rsidRPr="00677376" w:rsidRDefault="00DA0B00" w:rsidP="00DA0B00">
      <w:pPr>
        <w:numPr>
          <w:ilvl w:val="0"/>
          <w:numId w:val="15"/>
        </w:numPr>
        <w:rPr>
          <w:rFonts w:ascii="Arial" w:hAnsi="Arial" w:cs="Arial"/>
          <w:kern w:val="28"/>
        </w:rPr>
      </w:pPr>
      <w:r>
        <w:rPr>
          <w:rFonts w:ascii="Arial" w:hAnsi="Arial" w:cs="Arial"/>
          <w:kern w:val="28"/>
        </w:rPr>
        <w:t>p</w:t>
      </w:r>
      <w:r w:rsidRPr="00677376">
        <w:rPr>
          <w:rFonts w:ascii="Arial" w:hAnsi="Arial" w:cs="Arial"/>
          <w:kern w:val="28"/>
        </w:rPr>
        <w:t>redikce vývoje horninového prostředí a inženýrských bariér v horizontu statisíců let;</w:t>
      </w:r>
    </w:p>
    <w:p w:rsidR="00DA0B00" w:rsidRPr="00677376" w:rsidRDefault="00DA0B00" w:rsidP="00DA0B00">
      <w:pPr>
        <w:numPr>
          <w:ilvl w:val="0"/>
          <w:numId w:val="15"/>
        </w:numPr>
        <w:rPr>
          <w:rFonts w:ascii="Arial" w:hAnsi="Arial" w:cs="Arial"/>
          <w:kern w:val="28"/>
        </w:rPr>
      </w:pPr>
      <w:r>
        <w:rPr>
          <w:rFonts w:ascii="Arial" w:hAnsi="Arial" w:cs="Arial"/>
          <w:kern w:val="28"/>
        </w:rPr>
        <w:t>o</w:t>
      </w:r>
      <w:r w:rsidRPr="00677376">
        <w:rPr>
          <w:rFonts w:ascii="Arial" w:hAnsi="Arial" w:cs="Arial"/>
          <w:kern w:val="28"/>
        </w:rPr>
        <w:t>věření technologií výstavby HÚ a přípravy inženýrských bariér, ověření manipulací a logistiky nakládání s VJP a RAO.</w:t>
      </w:r>
    </w:p>
    <w:p w:rsidR="00DA0B00" w:rsidRPr="00677376" w:rsidRDefault="00DA0B00" w:rsidP="00DA0B00">
      <w:pPr>
        <w:ind w:firstLine="708"/>
        <w:rPr>
          <w:rFonts w:ascii="Arial" w:hAnsi="Arial" w:cs="Arial"/>
          <w:kern w:val="28"/>
        </w:rPr>
      </w:pPr>
      <w:r w:rsidRPr="00677376">
        <w:rPr>
          <w:rFonts w:ascii="Arial" w:hAnsi="Arial" w:cs="Arial"/>
          <w:kern w:val="28"/>
        </w:rPr>
        <w:t>Využití stávající podzemní infrastruktury pro výzkumné a vývojové aktivity je běžným postupem také v zahraničí (Grimsel Test Site, Mont</w:t>
      </w:r>
      <w:r>
        <w:rPr>
          <w:rFonts w:ascii="Arial" w:hAnsi="Arial" w:cs="Arial"/>
          <w:kern w:val="28"/>
        </w:rPr>
        <w:t xml:space="preserve"> T</w:t>
      </w:r>
      <w:r w:rsidR="00D50837">
        <w:rPr>
          <w:rFonts w:ascii="Arial" w:hAnsi="Arial" w:cs="Arial"/>
          <w:kern w:val="28"/>
        </w:rPr>
        <w:t>erri, Stripa, Tour</w:t>
      </w:r>
      <w:r w:rsidRPr="00677376">
        <w:rPr>
          <w:rFonts w:ascii="Arial" w:hAnsi="Arial" w:cs="Arial"/>
          <w:kern w:val="28"/>
        </w:rPr>
        <w:t>nemire atd.). Tento přístup podstatným způsobem snižuje náklady na vybudování podzemního pracoviště. Jedná se o nejlevnější možný způsob vybudování podzemní laboratoře, a to za podmínek, které se již nemusejí opakovat (ukončení těžby na využitelném podzemním díle). Ve všech výše zmíněných případech se jedná o</w:t>
      </w:r>
      <w:r w:rsidR="00E24F6B">
        <w:rPr>
          <w:rFonts w:ascii="Arial" w:hAnsi="Arial" w:cs="Arial"/>
          <w:kern w:val="28"/>
        </w:rPr>
        <w:t> </w:t>
      </w:r>
      <w:r w:rsidRPr="00677376">
        <w:rPr>
          <w:rFonts w:ascii="Arial" w:hAnsi="Arial" w:cs="Arial"/>
          <w:kern w:val="28"/>
        </w:rPr>
        <w:t>generické laboratoře, které přináší důležitá data jak</w:t>
      </w:r>
      <w:r w:rsidR="00483B2B">
        <w:rPr>
          <w:rFonts w:ascii="Arial" w:hAnsi="Arial" w:cs="Arial"/>
          <w:kern w:val="28"/>
        </w:rPr>
        <w:t> </w:t>
      </w:r>
      <w:r w:rsidRPr="00677376">
        <w:rPr>
          <w:rFonts w:ascii="Arial" w:hAnsi="Arial" w:cs="Arial"/>
          <w:kern w:val="28"/>
        </w:rPr>
        <w:t>z</w:t>
      </w:r>
      <w:r w:rsidR="00483B2B">
        <w:rPr>
          <w:rFonts w:ascii="Arial" w:hAnsi="Arial" w:cs="Arial"/>
          <w:kern w:val="28"/>
        </w:rPr>
        <w:t> </w:t>
      </w:r>
      <w:r w:rsidRPr="00677376">
        <w:rPr>
          <w:rFonts w:ascii="Arial" w:hAnsi="Arial" w:cs="Arial"/>
          <w:kern w:val="28"/>
        </w:rPr>
        <w:t>dlouhodobého monitoringu a</w:t>
      </w:r>
      <w:r w:rsidR="00E24F6B">
        <w:rPr>
          <w:rFonts w:ascii="Arial" w:hAnsi="Arial" w:cs="Arial"/>
          <w:kern w:val="28"/>
        </w:rPr>
        <w:t> </w:t>
      </w:r>
      <w:r w:rsidRPr="00677376">
        <w:rPr>
          <w:rFonts w:ascii="Arial" w:hAnsi="Arial" w:cs="Arial"/>
          <w:kern w:val="28"/>
        </w:rPr>
        <w:t xml:space="preserve"> charakterizace hostitelského prostředí, tak z</w:t>
      </w:r>
      <w:r w:rsidR="00483B2B">
        <w:rPr>
          <w:rFonts w:ascii="Arial" w:hAnsi="Arial" w:cs="Arial"/>
          <w:kern w:val="28"/>
        </w:rPr>
        <w:t> </w:t>
      </w:r>
      <w:r w:rsidRPr="00677376">
        <w:rPr>
          <w:rFonts w:ascii="Arial" w:hAnsi="Arial" w:cs="Arial"/>
          <w:kern w:val="28"/>
        </w:rPr>
        <w:t>experimentálního programu důležitého získání dat pro bezpečnostní analýzy i pro vývoj a ověření inženýrských řešení. Neopominutelným přínosem je získávání a</w:t>
      </w:r>
      <w:r w:rsidR="00483B2B">
        <w:rPr>
          <w:rFonts w:ascii="Arial" w:hAnsi="Arial" w:cs="Arial"/>
          <w:kern w:val="28"/>
        </w:rPr>
        <w:t> </w:t>
      </w:r>
      <w:r w:rsidRPr="00677376">
        <w:rPr>
          <w:rFonts w:ascii="Arial" w:hAnsi="Arial" w:cs="Arial"/>
          <w:kern w:val="28"/>
        </w:rPr>
        <w:t>uchování specifického know-how vysoce kvalifikovaných multidisciplinárních týmů.</w:t>
      </w:r>
    </w:p>
    <w:p w:rsidR="00DA0B00" w:rsidRPr="00677376" w:rsidRDefault="00896259" w:rsidP="00DA0B00">
      <w:pPr>
        <w:ind w:firstLine="708"/>
        <w:rPr>
          <w:rFonts w:ascii="Arial" w:hAnsi="Arial" w:cs="Arial"/>
          <w:kern w:val="28"/>
        </w:rPr>
      </w:pPr>
      <w:r>
        <w:rPr>
          <w:rFonts w:ascii="Arial" w:hAnsi="Arial" w:cs="Arial"/>
          <w:kern w:val="28"/>
        </w:rPr>
        <w:t>Správa</w:t>
      </w:r>
      <w:r w:rsidR="00DA0B00" w:rsidRPr="00677376">
        <w:rPr>
          <w:rFonts w:ascii="Arial" w:hAnsi="Arial" w:cs="Arial"/>
          <w:kern w:val="28"/>
        </w:rPr>
        <w:t xml:space="preserve"> se rozhodla využít ukončování těžby v oblasti Dolní Rožínky k</w:t>
      </w:r>
      <w:r w:rsidR="00483B2B">
        <w:rPr>
          <w:rFonts w:ascii="Arial" w:hAnsi="Arial" w:cs="Arial"/>
          <w:kern w:val="28"/>
        </w:rPr>
        <w:t> </w:t>
      </w:r>
      <w:r w:rsidR="00DA0B00" w:rsidRPr="00677376">
        <w:rPr>
          <w:rFonts w:ascii="Arial" w:hAnsi="Arial" w:cs="Arial"/>
          <w:kern w:val="28"/>
        </w:rPr>
        <w:t xml:space="preserve">možnému využití pro vybudování podzemní laboratoře, dle zahraničních zkušeností. PVP Bukov jako jediná lokalita v ČR disponuje potřebným vertikálním profilem (společně se sousedním uranovým dolem Rožná až 1200 m) a dostatečnou variabilitou geologického prostředí pro testování všech navrhovaných technických řešení a získání komplexní a dostatečně robustní databáze geologických a jiných dat. </w:t>
      </w:r>
    </w:p>
    <w:p w:rsidR="00DA0B00" w:rsidRPr="00677376" w:rsidRDefault="00DA0B00" w:rsidP="00DA0B00">
      <w:pPr>
        <w:ind w:firstLine="708"/>
        <w:rPr>
          <w:rFonts w:ascii="Arial" w:hAnsi="Arial" w:cs="Arial"/>
          <w:kern w:val="28"/>
        </w:rPr>
      </w:pPr>
      <w:r w:rsidRPr="00677376">
        <w:rPr>
          <w:rFonts w:ascii="Arial" w:hAnsi="Arial" w:cs="Arial"/>
          <w:kern w:val="28"/>
        </w:rPr>
        <w:t xml:space="preserve">Existence a využití generické laboratoře umožní efektivní plánování výzkumného programu ve finální lokalitě, který bude díky výsledkům získaným v této laboratoři cíleně zaměřen na získání specifických a charakteristických dat pro vybranou lokalitu, bez nutnosti opakovat celý výzkumný program. </w:t>
      </w:r>
    </w:p>
    <w:p w:rsidR="00DA0B00" w:rsidRDefault="00DA0B00" w:rsidP="00DA0B00">
      <w:pPr>
        <w:ind w:firstLine="708"/>
        <w:rPr>
          <w:rFonts w:ascii="Arial" w:hAnsi="Arial" w:cs="Arial"/>
          <w:kern w:val="28"/>
        </w:rPr>
      </w:pPr>
      <w:r w:rsidRPr="00677376">
        <w:rPr>
          <w:rFonts w:ascii="Arial" w:hAnsi="Arial" w:cs="Arial"/>
          <w:kern w:val="28"/>
        </w:rPr>
        <w:t>Významným synergickým efektem PVP Bukov je i blízkost kandidátní lokality Kraví hora. Na zbývajících lokalitách HÚ je v současné době jakákoliv stavba laboratoře vyloučena.</w:t>
      </w:r>
    </w:p>
    <w:p w:rsidR="00DA0B00" w:rsidRPr="00B84F38" w:rsidRDefault="00DA0B00" w:rsidP="00DA0B00">
      <w:pPr>
        <w:ind w:firstLine="708"/>
        <w:rPr>
          <w:rFonts w:ascii="Arial" w:hAnsi="Arial" w:cs="Arial"/>
          <w:kern w:val="28"/>
        </w:rPr>
      </w:pPr>
      <w:r w:rsidRPr="00FB41A1">
        <w:rPr>
          <w:rFonts w:ascii="Arial" w:hAnsi="Arial" w:cs="Arial"/>
          <w:kern w:val="28"/>
        </w:rPr>
        <w:t>Podzemní výzkumné pracoviště se nachází v blízkosti jámy B1 v katastrálním území obce Bukov v jižním křídle uranového ložiska Rožná.</w:t>
      </w:r>
      <w:r>
        <w:rPr>
          <w:rFonts w:ascii="Arial" w:hAnsi="Arial" w:cs="Arial"/>
          <w:kern w:val="28"/>
        </w:rPr>
        <w:t xml:space="preserve"> </w:t>
      </w:r>
      <w:r w:rsidRPr="00FB41A1">
        <w:rPr>
          <w:rFonts w:ascii="Arial" w:hAnsi="Arial" w:cs="Arial"/>
          <w:kern w:val="28"/>
        </w:rPr>
        <w:t>Projekt realizace byl zahájen v roce 2013, hlavním dodavatelem prací je DIAMO s.</w:t>
      </w:r>
      <w:r>
        <w:rPr>
          <w:rFonts w:ascii="Arial" w:hAnsi="Arial" w:cs="Arial"/>
          <w:kern w:val="28"/>
        </w:rPr>
        <w:t> </w:t>
      </w:r>
      <w:r w:rsidRPr="00FB41A1">
        <w:rPr>
          <w:rFonts w:ascii="Arial" w:hAnsi="Arial" w:cs="Arial"/>
          <w:kern w:val="28"/>
        </w:rPr>
        <w:t xml:space="preserve">p. oz. GEAM. Vlastní razící práce </w:t>
      </w:r>
      <w:r w:rsidR="008D21C9">
        <w:rPr>
          <w:rFonts w:ascii="Arial" w:hAnsi="Arial" w:cs="Arial"/>
          <w:kern w:val="28"/>
        </w:rPr>
        <w:t xml:space="preserve">první etapy </w:t>
      </w:r>
      <w:r w:rsidRPr="00FB41A1">
        <w:rPr>
          <w:rFonts w:ascii="Arial" w:hAnsi="Arial" w:cs="Arial"/>
          <w:kern w:val="28"/>
        </w:rPr>
        <w:t>budou ukončeny v červnu 2016, do konce roku pak bude probíhat technické dovybavení laboratoře, její kolaudace aj. Projekt výstavby bude ukončen v prosinci 2016, následovat bude experimentální provoz.</w:t>
      </w:r>
      <w:r w:rsidR="008D21C9">
        <w:rPr>
          <w:rFonts w:ascii="Arial" w:hAnsi="Arial" w:cs="Arial"/>
          <w:kern w:val="28"/>
        </w:rPr>
        <w:t xml:space="preserve"> Další etapy budou realizovány podle konkrétních potřeb přípravy HÚ, v návaznosti na pokrok ve výběru lokality HÚ.</w:t>
      </w:r>
    </w:p>
    <w:p w:rsidR="00DA0B00" w:rsidRPr="002E33C8" w:rsidRDefault="00DA0B00" w:rsidP="00DA0B00">
      <w:pPr>
        <w:pStyle w:val="Nadpis1"/>
        <w:rPr>
          <w:rFonts w:ascii="Arial" w:hAnsi="Arial" w:cs="Arial"/>
        </w:rPr>
      </w:pPr>
      <w:bookmarkStart w:id="98" w:name="_Toc453575862"/>
      <w:r w:rsidRPr="002E33C8">
        <w:rPr>
          <w:rFonts w:ascii="Arial" w:hAnsi="Arial" w:cs="Arial"/>
        </w:rPr>
        <w:t>Komunikace s veřejností</w:t>
      </w:r>
      <w:bookmarkEnd w:id="98"/>
    </w:p>
    <w:p w:rsidR="00DA0B00" w:rsidRPr="002E33C8" w:rsidRDefault="00DA0B00" w:rsidP="00DA0B00">
      <w:pPr>
        <w:pStyle w:val="Normln0"/>
        <w:ind w:firstLine="708"/>
        <w:jc w:val="both"/>
        <w:rPr>
          <w:rFonts w:ascii="Arial" w:hAnsi="Arial" w:cs="Arial"/>
          <w:sz w:val="24"/>
          <w:szCs w:val="24"/>
        </w:rPr>
      </w:pPr>
    </w:p>
    <w:p w:rsidR="00DA0B00" w:rsidRPr="00E270CA" w:rsidRDefault="00DA0B00" w:rsidP="00DA0B00">
      <w:pPr>
        <w:pStyle w:val="Normln0"/>
        <w:ind w:firstLine="708"/>
        <w:jc w:val="both"/>
        <w:rPr>
          <w:rFonts w:ascii="Arial" w:hAnsi="Arial" w:cs="Arial"/>
          <w:sz w:val="24"/>
          <w:szCs w:val="24"/>
        </w:rPr>
      </w:pPr>
      <w:r w:rsidRPr="00356354">
        <w:rPr>
          <w:rFonts w:ascii="Arial" w:hAnsi="Arial" w:cs="Arial"/>
          <w:sz w:val="24"/>
          <w:szCs w:val="24"/>
        </w:rPr>
        <w:t>Dlouhodobým cílem Správy je zvyšování všeobecného povědomí o</w:t>
      </w:r>
      <w:r>
        <w:rPr>
          <w:rFonts w:ascii="Arial" w:hAnsi="Arial" w:cs="Arial"/>
          <w:sz w:val="24"/>
          <w:szCs w:val="24"/>
        </w:rPr>
        <w:t> </w:t>
      </w:r>
      <w:r w:rsidRPr="00356354">
        <w:rPr>
          <w:rFonts w:ascii="Arial" w:hAnsi="Arial" w:cs="Arial"/>
          <w:sz w:val="24"/>
          <w:szCs w:val="24"/>
        </w:rPr>
        <w:t>existenci radioaktivních odpadů a o způsobech jejich zneškodnění v ČR i v zahraničí. Dostupnost informací o radioaktivních odpadech a nakládání s nimi je prvním předpokladem pro diskuzi všech zai</w:t>
      </w:r>
      <w:r w:rsidRPr="00E270CA">
        <w:rPr>
          <w:rFonts w:ascii="Arial" w:hAnsi="Arial" w:cs="Arial"/>
          <w:sz w:val="24"/>
          <w:szCs w:val="24"/>
        </w:rPr>
        <w:t>nteresovaných stran o způsobu konečného zneškodnění radioaktivních odpadů a vyhořelého jaderného paliva v</w:t>
      </w:r>
      <w:r>
        <w:rPr>
          <w:rFonts w:ascii="Arial" w:hAnsi="Arial" w:cs="Arial"/>
          <w:sz w:val="24"/>
          <w:szCs w:val="24"/>
        </w:rPr>
        <w:t> </w:t>
      </w:r>
      <w:r w:rsidRPr="00E270CA">
        <w:rPr>
          <w:rFonts w:ascii="Arial" w:hAnsi="Arial" w:cs="Arial"/>
          <w:sz w:val="24"/>
          <w:szCs w:val="24"/>
        </w:rPr>
        <w:t xml:space="preserve">České republice. </w:t>
      </w:r>
    </w:p>
    <w:p w:rsidR="00DA0B00" w:rsidRPr="002F2245" w:rsidRDefault="00DA0B00" w:rsidP="00DA0B00">
      <w:pPr>
        <w:pStyle w:val="Normlnweb"/>
        <w:shd w:val="clear" w:color="auto" w:fill="FFFFFF"/>
        <w:spacing w:before="0" w:after="0" w:line="240" w:lineRule="auto"/>
        <w:ind w:firstLine="708"/>
        <w:jc w:val="both"/>
        <w:rPr>
          <w:rFonts w:ascii="Arial" w:hAnsi="Arial" w:cs="Arial"/>
        </w:rPr>
      </w:pPr>
      <w:r w:rsidRPr="00E270CA">
        <w:rPr>
          <w:rFonts w:ascii="Arial" w:hAnsi="Arial" w:cs="Arial"/>
        </w:rPr>
        <w:t xml:space="preserve">Výběr vhodné lokality pro </w:t>
      </w:r>
      <w:r>
        <w:rPr>
          <w:rFonts w:ascii="Arial" w:hAnsi="Arial" w:cs="Arial"/>
        </w:rPr>
        <w:t>HÚ</w:t>
      </w:r>
      <w:r w:rsidRPr="00E270CA">
        <w:rPr>
          <w:rFonts w:ascii="Arial" w:hAnsi="Arial" w:cs="Arial"/>
        </w:rPr>
        <w:t xml:space="preserve"> v České republice vstupuje do další </w:t>
      </w:r>
      <w:r>
        <w:rPr>
          <w:rFonts w:ascii="Arial" w:hAnsi="Arial" w:cs="Arial"/>
        </w:rPr>
        <w:t>etapy</w:t>
      </w:r>
      <w:r w:rsidRPr="00E270CA">
        <w:rPr>
          <w:rFonts w:ascii="Arial" w:hAnsi="Arial" w:cs="Arial"/>
        </w:rPr>
        <w:t>. S</w:t>
      </w:r>
      <w:r>
        <w:rPr>
          <w:rFonts w:ascii="Arial" w:hAnsi="Arial" w:cs="Arial"/>
        </w:rPr>
        <w:t>práva získala</w:t>
      </w:r>
      <w:r w:rsidRPr="002F2245">
        <w:rPr>
          <w:rFonts w:ascii="Arial" w:hAnsi="Arial" w:cs="Arial"/>
        </w:rPr>
        <w:t xml:space="preserve"> povolení k realizaci geologických průzkumů povrchovými metodami na </w:t>
      </w:r>
      <w:r>
        <w:rPr>
          <w:rFonts w:ascii="Arial" w:hAnsi="Arial" w:cs="Arial"/>
        </w:rPr>
        <w:t xml:space="preserve">všech </w:t>
      </w:r>
      <w:r w:rsidRPr="002F2245">
        <w:rPr>
          <w:rFonts w:ascii="Arial" w:hAnsi="Arial" w:cs="Arial"/>
        </w:rPr>
        <w:t>sedmi vytipovaných lokalitách. Stát tak postupně naplňuje svou zodpovědnost zajištění bezpečného uložení všech radioaktivních odpadů</w:t>
      </w:r>
      <w:r>
        <w:rPr>
          <w:rFonts w:ascii="Arial" w:hAnsi="Arial" w:cs="Arial"/>
        </w:rPr>
        <w:t>,</w:t>
      </w:r>
      <w:r w:rsidRPr="002F2245">
        <w:rPr>
          <w:rFonts w:ascii="Arial" w:hAnsi="Arial" w:cs="Arial"/>
        </w:rPr>
        <w:t xml:space="preserve"> včetně vyhořelého jaderného paliva</w:t>
      </w:r>
      <w:r>
        <w:rPr>
          <w:rFonts w:ascii="Arial" w:hAnsi="Arial" w:cs="Arial"/>
        </w:rPr>
        <w:t>,</w:t>
      </w:r>
      <w:r w:rsidRPr="002F2245">
        <w:rPr>
          <w:rFonts w:ascii="Arial" w:hAnsi="Arial" w:cs="Arial"/>
        </w:rPr>
        <w:t xml:space="preserve"> deklarovanou v atomovém zákoně a v souladu s</w:t>
      </w:r>
      <w:r w:rsidR="00483B2B">
        <w:rPr>
          <w:rFonts w:ascii="Arial" w:hAnsi="Arial" w:cs="Arial"/>
        </w:rPr>
        <w:t> </w:t>
      </w:r>
      <w:r w:rsidRPr="002F2245">
        <w:rPr>
          <w:rFonts w:ascii="Arial" w:hAnsi="Arial" w:cs="Arial"/>
        </w:rPr>
        <w:t>národní strategií v </w:t>
      </w:r>
      <w:r>
        <w:rPr>
          <w:rFonts w:ascii="Arial" w:hAnsi="Arial" w:cs="Arial"/>
        </w:rPr>
        <w:t>a</w:t>
      </w:r>
      <w:r w:rsidRPr="002F2245">
        <w:rPr>
          <w:rFonts w:ascii="Arial" w:hAnsi="Arial" w:cs="Arial"/>
        </w:rPr>
        <w:t>ktualizované Koncepci nakládání s RAO a VJP</w:t>
      </w:r>
      <w:r>
        <w:rPr>
          <w:rFonts w:ascii="Arial" w:hAnsi="Arial" w:cs="Arial"/>
        </w:rPr>
        <w:t xml:space="preserve"> v ČR</w:t>
      </w:r>
      <w:r w:rsidRPr="002F2245">
        <w:rPr>
          <w:rFonts w:ascii="Arial" w:hAnsi="Arial" w:cs="Arial"/>
        </w:rPr>
        <w:t xml:space="preserve">. </w:t>
      </w:r>
      <w:r w:rsidRPr="00E270CA">
        <w:rPr>
          <w:rFonts w:ascii="Arial" w:hAnsi="Arial" w:cs="Arial"/>
        </w:rPr>
        <w:t>V souvislosti s tím budou kladeny i v</w:t>
      </w:r>
      <w:r>
        <w:rPr>
          <w:rFonts w:ascii="Arial" w:hAnsi="Arial" w:cs="Arial"/>
        </w:rPr>
        <w:t>yšší</w:t>
      </w:r>
      <w:r w:rsidRPr="00E270CA">
        <w:rPr>
          <w:rFonts w:ascii="Arial" w:hAnsi="Arial" w:cs="Arial"/>
        </w:rPr>
        <w:t xml:space="preserve"> nároky na míru informovanosti v daných oblastech.</w:t>
      </w:r>
    </w:p>
    <w:p w:rsidR="00DA0B00" w:rsidRDefault="00DA0B00" w:rsidP="00DA0B00">
      <w:pPr>
        <w:pStyle w:val="Normln0"/>
        <w:ind w:firstLine="708"/>
        <w:jc w:val="both"/>
        <w:rPr>
          <w:rFonts w:ascii="Arial" w:hAnsi="Arial" w:cs="Arial"/>
          <w:sz w:val="24"/>
          <w:szCs w:val="24"/>
        </w:rPr>
      </w:pPr>
      <w:r w:rsidRPr="00E270CA">
        <w:rPr>
          <w:rFonts w:ascii="Arial" w:hAnsi="Arial" w:cs="Arial"/>
          <w:sz w:val="24"/>
          <w:szCs w:val="24"/>
        </w:rPr>
        <w:t>Jako nástroje k šíření informací využívá Správa především webové stránky, informační střediska</w:t>
      </w:r>
      <w:r>
        <w:rPr>
          <w:rFonts w:ascii="Arial" w:hAnsi="Arial" w:cs="Arial"/>
          <w:sz w:val="24"/>
          <w:szCs w:val="24"/>
        </w:rPr>
        <w:t xml:space="preserve"> (hlavní informační středisko v Praze, v sídle S</w:t>
      </w:r>
      <w:r w:rsidR="00DB5A7D">
        <w:rPr>
          <w:rFonts w:ascii="Arial" w:hAnsi="Arial" w:cs="Arial"/>
          <w:sz w:val="24"/>
          <w:szCs w:val="24"/>
        </w:rPr>
        <w:t>právy</w:t>
      </w:r>
      <w:r>
        <w:rPr>
          <w:rFonts w:ascii="Arial" w:hAnsi="Arial" w:cs="Arial"/>
          <w:sz w:val="24"/>
          <w:szCs w:val="24"/>
        </w:rPr>
        <w:t xml:space="preserve"> a další informační střediska a info koutky v lokalitách)</w:t>
      </w:r>
      <w:r w:rsidRPr="00E270CA">
        <w:rPr>
          <w:rFonts w:ascii="Arial" w:hAnsi="Arial" w:cs="Arial"/>
          <w:sz w:val="24"/>
          <w:szCs w:val="24"/>
        </w:rPr>
        <w:t>, informační a prezentační materiály, media relations, veřejné diskuze</w:t>
      </w:r>
      <w:r>
        <w:rPr>
          <w:rFonts w:ascii="Arial" w:hAnsi="Arial" w:cs="Arial"/>
          <w:sz w:val="24"/>
          <w:szCs w:val="24"/>
        </w:rPr>
        <w:t>, pravidelná</w:t>
      </w:r>
      <w:r w:rsidRPr="00E270CA">
        <w:rPr>
          <w:rFonts w:ascii="Arial" w:hAnsi="Arial" w:cs="Arial"/>
          <w:sz w:val="24"/>
          <w:szCs w:val="24"/>
        </w:rPr>
        <w:t xml:space="preserve"> setká</w:t>
      </w:r>
      <w:r>
        <w:rPr>
          <w:rFonts w:ascii="Arial" w:hAnsi="Arial" w:cs="Arial"/>
          <w:sz w:val="24"/>
          <w:szCs w:val="24"/>
        </w:rPr>
        <w:t>vá</w:t>
      </w:r>
      <w:r w:rsidRPr="00E270CA">
        <w:rPr>
          <w:rFonts w:ascii="Arial" w:hAnsi="Arial" w:cs="Arial"/>
          <w:sz w:val="24"/>
          <w:szCs w:val="24"/>
        </w:rPr>
        <w:t>ní s obyvateli obcí přímo na lokalitách a přednášky pro školy.</w:t>
      </w:r>
    </w:p>
    <w:p w:rsidR="00DA0B00" w:rsidRPr="00165D1D" w:rsidRDefault="00DA0B00" w:rsidP="00DA0B00">
      <w:pPr>
        <w:pStyle w:val="Normln0"/>
        <w:ind w:firstLine="708"/>
        <w:jc w:val="both"/>
        <w:rPr>
          <w:rFonts w:ascii="Arial" w:hAnsi="Arial" w:cs="Arial"/>
          <w:sz w:val="24"/>
          <w:szCs w:val="24"/>
        </w:rPr>
      </w:pPr>
      <w:r>
        <w:rPr>
          <w:rFonts w:ascii="Arial" w:hAnsi="Arial" w:cs="Arial"/>
          <w:sz w:val="24"/>
          <w:szCs w:val="24"/>
        </w:rPr>
        <w:t>V roce 2017 bychom se chtěli více zaměřit na komunikaci v oblasti tzv. nových médií (internet a využívání sociální sítě), která v </w:t>
      </w:r>
      <w:r w:rsidRPr="00165D1D">
        <w:rPr>
          <w:rFonts w:ascii="Arial" w:hAnsi="Arial" w:cs="Arial"/>
          <w:sz w:val="24"/>
          <w:szCs w:val="24"/>
        </w:rPr>
        <w:t>dnešní době hrají důležitou roli v běžné komunikaci.</w:t>
      </w:r>
      <w:r w:rsidRPr="004478F7">
        <w:rPr>
          <w:rFonts w:ascii="Arial" w:hAnsi="Arial" w:cs="Arial"/>
          <w:sz w:val="24"/>
          <w:szCs w:val="24"/>
        </w:rPr>
        <w:t xml:space="preserve"> </w:t>
      </w:r>
      <w:r>
        <w:rPr>
          <w:rFonts w:ascii="Arial" w:hAnsi="Arial" w:cs="Arial"/>
          <w:sz w:val="24"/>
          <w:szCs w:val="24"/>
        </w:rPr>
        <w:t>N</w:t>
      </w:r>
      <w:r w:rsidRPr="00527234">
        <w:rPr>
          <w:rFonts w:ascii="Arial" w:hAnsi="Arial" w:cs="Arial"/>
          <w:sz w:val="24"/>
          <w:szCs w:val="24"/>
        </w:rPr>
        <w:t>ová média jsou specifická svou rychlos</w:t>
      </w:r>
      <w:r w:rsidRPr="004478F7">
        <w:rPr>
          <w:rFonts w:ascii="Arial" w:hAnsi="Arial" w:cs="Arial"/>
          <w:sz w:val="24"/>
          <w:szCs w:val="24"/>
        </w:rPr>
        <w:t>tí a pružností</w:t>
      </w:r>
      <w:r>
        <w:rPr>
          <w:rFonts w:ascii="Arial" w:hAnsi="Arial" w:cs="Arial"/>
          <w:sz w:val="24"/>
          <w:szCs w:val="24"/>
        </w:rPr>
        <w:t xml:space="preserve">, většina lidí v produktivním věku považuje nová média za nepostradatelnou součást běžného dne a zdroj získávání informací. </w:t>
      </w:r>
    </w:p>
    <w:p w:rsidR="00DA0B00" w:rsidRDefault="00DA0B00" w:rsidP="00DA0B00">
      <w:pPr>
        <w:pStyle w:val="Normln0"/>
        <w:ind w:firstLine="708"/>
        <w:jc w:val="both"/>
        <w:rPr>
          <w:rFonts w:ascii="Arial" w:hAnsi="Arial" w:cs="Arial"/>
          <w:sz w:val="24"/>
          <w:szCs w:val="24"/>
        </w:rPr>
      </w:pPr>
      <w:r>
        <w:rPr>
          <w:rFonts w:ascii="Arial" w:hAnsi="Arial" w:cs="Arial"/>
          <w:sz w:val="24"/>
          <w:szCs w:val="24"/>
        </w:rPr>
        <w:t>I v</w:t>
      </w:r>
      <w:r w:rsidRPr="00981ABA">
        <w:rPr>
          <w:rFonts w:ascii="Arial" w:hAnsi="Arial" w:cs="Arial"/>
          <w:sz w:val="24"/>
          <w:szCs w:val="24"/>
        </w:rPr>
        <w:t xml:space="preserve"> roce 2017 Správa plánuje informační střediska </w:t>
      </w:r>
      <w:r>
        <w:rPr>
          <w:rFonts w:ascii="Arial" w:hAnsi="Arial" w:cs="Arial"/>
          <w:sz w:val="24"/>
          <w:szCs w:val="24"/>
        </w:rPr>
        <w:t>dle potřeby</w:t>
      </w:r>
      <w:r w:rsidRPr="00981ABA">
        <w:rPr>
          <w:rFonts w:ascii="Arial" w:hAnsi="Arial" w:cs="Arial"/>
          <w:sz w:val="24"/>
          <w:szCs w:val="24"/>
        </w:rPr>
        <w:t xml:space="preserve"> modernizovat a </w:t>
      </w:r>
      <w:r>
        <w:rPr>
          <w:rFonts w:ascii="Arial" w:hAnsi="Arial" w:cs="Arial"/>
          <w:sz w:val="24"/>
          <w:szCs w:val="24"/>
        </w:rPr>
        <w:t>rozšiřovat</w:t>
      </w:r>
      <w:r w:rsidRPr="00981ABA">
        <w:rPr>
          <w:rFonts w:ascii="Arial" w:hAnsi="Arial" w:cs="Arial"/>
          <w:sz w:val="24"/>
          <w:szCs w:val="24"/>
        </w:rPr>
        <w:t xml:space="preserve"> poskytování informací napříč všemi</w:t>
      </w:r>
      <w:r w:rsidRPr="00E270CA">
        <w:rPr>
          <w:rFonts w:ascii="Arial" w:hAnsi="Arial" w:cs="Arial"/>
          <w:sz w:val="24"/>
          <w:szCs w:val="24"/>
        </w:rPr>
        <w:t xml:space="preserve"> věkovými skupinami</w:t>
      </w:r>
      <w:r>
        <w:rPr>
          <w:rFonts w:ascii="Arial" w:hAnsi="Arial" w:cs="Arial"/>
          <w:sz w:val="24"/>
          <w:szCs w:val="24"/>
        </w:rPr>
        <w:t xml:space="preserve"> - od </w:t>
      </w:r>
      <w:r w:rsidRPr="00E270CA">
        <w:rPr>
          <w:rFonts w:ascii="Arial" w:hAnsi="Arial" w:cs="Arial"/>
          <w:sz w:val="24"/>
          <w:szCs w:val="24"/>
        </w:rPr>
        <w:t xml:space="preserve">široké </w:t>
      </w:r>
      <w:r w:rsidRPr="00090282">
        <w:rPr>
          <w:rFonts w:ascii="Arial" w:hAnsi="Arial" w:cs="Arial"/>
          <w:sz w:val="24"/>
          <w:szCs w:val="24"/>
        </w:rPr>
        <w:t xml:space="preserve">veřejnosti až po odborníky. </w:t>
      </w:r>
    </w:p>
    <w:p w:rsidR="00DA0B00" w:rsidRPr="00E270CA" w:rsidRDefault="00DA0B00" w:rsidP="00DA0B00">
      <w:pPr>
        <w:pStyle w:val="Normln0"/>
        <w:ind w:firstLine="708"/>
        <w:jc w:val="both"/>
        <w:rPr>
          <w:rFonts w:ascii="Arial" w:hAnsi="Arial" w:cs="Arial"/>
          <w:sz w:val="24"/>
          <w:szCs w:val="24"/>
        </w:rPr>
      </w:pPr>
      <w:r>
        <w:rPr>
          <w:rFonts w:ascii="Arial" w:hAnsi="Arial" w:cs="Arial"/>
          <w:sz w:val="24"/>
          <w:szCs w:val="24"/>
        </w:rPr>
        <w:t>Správa má</w:t>
      </w:r>
      <w:r w:rsidRPr="00090282">
        <w:rPr>
          <w:rFonts w:ascii="Arial" w:hAnsi="Arial" w:cs="Arial"/>
          <w:sz w:val="24"/>
          <w:szCs w:val="24"/>
        </w:rPr>
        <w:t xml:space="preserve"> k dispozici mobilní informační středisko s  3D modelem </w:t>
      </w:r>
      <w:r>
        <w:rPr>
          <w:rFonts w:ascii="Arial" w:hAnsi="Arial" w:cs="Arial"/>
          <w:sz w:val="24"/>
          <w:szCs w:val="24"/>
        </w:rPr>
        <w:t>HÚ.</w:t>
      </w:r>
      <w:r w:rsidRPr="00E270CA">
        <w:rPr>
          <w:rFonts w:ascii="Arial" w:hAnsi="Arial" w:cs="Arial"/>
          <w:sz w:val="24"/>
          <w:szCs w:val="24"/>
        </w:rPr>
        <w:t xml:space="preserve"> </w:t>
      </w:r>
      <w:r>
        <w:rPr>
          <w:rFonts w:ascii="Arial" w:hAnsi="Arial" w:cs="Arial"/>
          <w:sz w:val="24"/>
          <w:szCs w:val="24"/>
        </w:rPr>
        <w:t>Jeho</w:t>
      </w:r>
      <w:r w:rsidRPr="00E270CA">
        <w:rPr>
          <w:rFonts w:ascii="Arial" w:hAnsi="Arial" w:cs="Arial"/>
          <w:sz w:val="24"/>
          <w:szCs w:val="24"/>
        </w:rPr>
        <w:t xml:space="preserve"> využití </w:t>
      </w:r>
      <w:r>
        <w:rPr>
          <w:rFonts w:ascii="Arial" w:hAnsi="Arial" w:cs="Arial"/>
          <w:sz w:val="24"/>
          <w:szCs w:val="24"/>
        </w:rPr>
        <w:t>je rozsáhlé, a to jednak v rámci</w:t>
      </w:r>
      <w:r w:rsidRPr="00E270CA">
        <w:rPr>
          <w:rFonts w:ascii="Arial" w:hAnsi="Arial" w:cs="Arial"/>
          <w:sz w:val="24"/>
          <w:szCs w:val="24"/>
        </w:rPr>
        <w:t xml:space="preserve"> vzdělávacího programu</w:t>
      </w:r>
      <w:r>
        <w:rPr>
          <w:rFonts w:ascii="Arial" w:hAnsi="Arial" w:cs="Arial"/>
          <w:sz w:val="24"/>
          <w:szCs w:val="24"/>
        </w:rPr>
        <w:t>, při projednávání geologicko-</w:t>
      </w:r>
      <w:r w:rsidRPr="002F2245">
        <w:rPr>
          <w:rFonts w:ascii="Arial" w:hAnsi="Arial" w:cs="Arial"/>
          <w:sz w:val="24"/>
          <w:szCs w:val="24"/>
        </w:rPr>
        <w:t>průzkumných projektů v jednotlivých obcích</w:t>
      </w:r>
      <w:r>
        <w:rPr>
          <w:rFonts w:ascii="Arial" w:hAnsi="Arial" w:cs="Arial"/>
          <w:sz w:val="24"/>
          <w:szCs w:val="24"/>
        </w:rPr>
        <w:t xml:space="preserve">, je hojně využíváno na různých konferencích a seminářích nebo v rámci Jaderných dnů na Techmánii a podobných vzdělávacích akcích. </w:t>
      </w:r>
    </w:p>
    <w:p w:rsidR="00DA0B00" w:rsidRPr="00E270CA" w:rsidRDefault="00DA0B00" w:rsidP="00DA0B00">
      <w:pPr>
        <w:pStyle w:val="Normln0"/>
        <w:ind w:firstLine="708"/>
        <w:jc w:val="both"/>
        <w:rPr>
          <w:rFonts w:ascii="Arial" w:hAnsi="Arial" w:cs="Arial"/>
          <w:sz w:val="24"/>
          <w:szCs w:val="24"/>
        </w:rPr>
      </w:pPr>
      <w:r w:rsidRPr="00E270CA">
        <w:rPr>
          <w:rFonts w:ascii="Arial" w:hAnsi="Arial" w:cs="Arial"/>
          <w:sz w:val="24"/>
          <w:szCs w:val="24"/>
        </w:rPr>
        <w:t xml:space="preserve">Dalším a velice důležitým </w:t>
      </w:r>
      <w:r>
        <w:rPr>
          <w:rFonts w:ascii="Arial" w:hAnsi="Arial" w:cs="Arial"/>
          <w:sz w:val="24"/>
          <w:szCs w:val="24"/>
        </w:rPr>
        <w:t xml:space="preserve">informačním </w:t>
      </w:r>
      <w:r w:rsidRPr="00E270CA">
        <w:rPr>
          <w:rFonts w:ascii="Arial" w:hAnsi="Arial" w:cs="Arial"/>
          <w:sz w:val="24"/>
          <w:szCs w:val="24"/>
        </w:rPr>
        <w:t>médiem, kter</w:t>
      </w:r>
      <w:r>
        <w:rPr>
          <w:rFonts w:ascii="Arial" w:hAnsi="Arial" w:cs="Arial"/>
          <w:sz w:val="24"/>
          <w:szCs w:val="24"/>
        </w:rPr>
        <w:t>ým</w:t>
      </w:r>
      <w:r w:rsidRPr="00E270CA">
        <w:rPr>
          <w:rFonts w:ascii="Arial" w:hAnsi="Arial" w:cs="Arial"/>
          <w:sz w:val="24"/>
          <w:szCs w:val="24"/>
        </w:rPr>
        <w:t xml:space="preserve"> </w:t>
      </w:r>
      <w:r>
        <w:rPr>
          <w:rFonts w:ascii="Arial" w:hAnsi="Arial" w:cs="Arial"/>
          <w:sz w:val="24"/>
          <w:szCs w:val="24"/>
        </w:rPr>
        <w:t>již delší dobu</w:t>
      </w:r>
      <w:r w:rsidRPr="00E270CA">
        <w:rPr>
          <w:rFonts w:ascii="Arial" w:hAnsi="Arial" w:cs="Arial"/>
          <w:sz w:val="24"/>
          <w:szCs w:val="24"/>
        </w:rPr>
        <w:t xml:space="preserve"> informuje </w:t>
      </w:r>
      <w:r>
        <w:rPr>
          <w:rFonts w:ascii="Arial" w:hAnsi="Arial" w:cs="Arial"/>
          <w:sz w:val="24"/>
          <w:szCs w:val="24"/>
        </w:rPr>
        <w:t xml:space="preserve">Správa </w:t>
      </w:r>
      <w:r w:rsidRPr="00E270CA">
        <w:rPr>
          <w:rFonts w:ascii="Arial" w:hAnsi="Arial" w:cs="Arial"/>
          <w:sz w:val="24"/>
          <w:szCs w:val="24"/>
        </w:rPr>
        <w:t xml:space="preserve">občany v lokalitách o </w:t>
      </w:r>
      <w:r>
        <w:rPr>
          <w:rFonts w:ascii="Arial" w:hAnsi="Arial" w:cs="Arial"/>
          <w:sz w:val="24"/>
          <w:szCs w:val="24"/>
        </w:rPr>
        <w:t xml:space="preserve">svých </w:t>
      </w:r>
      <w:r w:rsidRPr="00E270CA">
        <w:rPr>
          <w:rFonts w:ascii="Arial" w:hAnsi="Arial" w:cs="Arial"/>
          <w:sz w:val="24"/>
          <w:szCs w:val="24"/>
        </w:rPr>
        <w:t>aktivitách</w:t>
      </w:r>
      <w:r w:rsidRPr="002F2245">
        <w:rPr>
          <w:rFonts w:ascii="Arial" w:hAnsi="Arial" w:cs="Arial"/>
          <w:sz w:val="24"/>
          <w:szCs w:val="24"/>
        </w:rPr>
        <w:t xml:space="preserve">, je zpravodaj Zprávy ze Správy. Čtvrtletník </w:t>
      </w:r>
      <w:r w:rsidRPr="00DD5F52">
        <w:rPr>
          <w:rFonts w:ascii="Arial" w:hAnsi="Arial" w:cs="Arial"/>
          <w:sz w:val="24"/>
          <w:szCs w:val="24"/>
        </w:rPr>
        <w:t>dostávají domácnosti, obecní i krajské úřady, knihovny, školy</w:t>
      </w:r>
      <w:r w:rsidRPr="00E270CA">
        <w:rPr>
          <w:rFonts w:ascii="Arial" w:hAnsi="Arial" w:cs="Arial"/>
          <w:sz w:val="24"/>
          <w:szCs w:val="24"/>
        </w:rPr>
        <w:t xml:space="preserve"> a</w:t>
      </w:r>
      <w:r>
        <w:rPr>
          <w:rFonts w:ascii="Arial" w:hAnsi="Arial" w:cs="Arial"/>
          <w:sz w:val="24"/>
          <w:szCs w:val="24"/>
        </w:rPr>
        <w:t> </w:t>
      </w:r>
      <w:r w:rsidRPr="00E270CA">
        <w:rPr>
          <w:rFonts w:ascii="Arial" w:hAnsi="Arial" w:cs="Arial"/>
          <w:sz w:val="24"/>
          <w:szCs w:val="24"/>
        </w:rPr>
        <w:t>další zainte</w:t>
      </w:r>
      <w:r>
        <w:rPr>
          <w:rFonts w:ascii="Arial" w:hAnsi="Arial" w:cs="Arial"/>
          <w:sz w:val="24"/>
          <w:szCs w:val="24"/>
        </w:rPr>
        <w:t>resované organizace a subjekty. V roce 2016 jsme přešli z novinového formátu na formát časopisu.</w:t>
      </w:r>
    </w:p>
    <w:p w:rsidR="00DA0B00" w:rsidRPr="00DD5F52" w:rsidRDefault="00DA0B00" w:rsidP="00DA0B00">
      <w:pPr>
        <w:pStyle w:val="Normln0"/>
        <w:ind w:firstLine="708"/>
        <w:jc w:val="both"/>
        <w:rPr>
          <w:rFonts w:ascii="Arial" w:hAnsi="Arial" w:cs="Arial"/>
          <w:sz w:val="24"/>
          <w:szCs w:val="24"/>
        </w:rPr>
      </w:pPr>
      <w:r w:rsidRPr="00E270CA">
        <w:rPr>
          <w:rFonts w:ascii="Arial" w:hAnsi="Arial" w:cs="Arial"/>
          <w:sz w:val="24"/>
          <w:szCs w:val="24"/>
        </w:rPr>
        <w:t xml:space="preserve">Správa </w:t>
      </w:r>
      <w:r w:rsidRPr="00DD5F52">
        <w:rPr>
          <w:rFonts w:ascii="Arial" w:hAnsi="Arial" w:cs="Arial"/>
          <w:sz w:val="24"/>
          <w:szCs w:val="24"/>
        </w:rPr>
        <w:t>se trvale snaží udržovat dobré vztahy</w:t>
      </w:r>
      <w:r>
        <w:rPr>
          <w:rFonts w:ascii="Arial" w:hAnsi="Arial" w:cs="Arial"/>
          <w:sz w:val="24"/>
          <w:szCs w:val="24"/>
        </w:rPr>
        <w:t xml:space="preserve"> i</w:t>
      </w:r>
      <w:r w:rsidRPr="00DD5F52">
        <w:rPr>
          <w:rFonts w:ascii="Arial" w:hAnsi="Arial" w:cs="Arial"/>
          <w:sz w:val="24"/>
          <w:szCs w:val="24"/>
        </w:rPr>
        <w:t xml:space="preserve"> v lokalitách, kde jsou úložiště radioaktivních odpadů </w:t>
      </w:r>
      <w:r>
        <w:rPr>
          <w:rFonts w:ascii="Arial" w:hAnsi="Arial" w:cs="Arial"/>
          <w:sz w:val="24"/>
          <w:szCs w:val="24"/>
        </w:rPr>
        <w:t xml:space="preserve">již </w:t>
      </w:r>
      <w:r w:rsidRPr="00DD5F52">
        <w:rPr>
          <w:rFonts w:ascii="Arial" w:hAnsi="Arial" w:cs="Arial"/>
          <w:sz w:val="24"/>
          <w:szCs w:val="24"/>
        </w:rPr>
        <w:t>v provozu. Zástupci měst a obcí, kde Správa</w:t>
      </w:r>
      <w:r>
        <w:rPr>
          <w:rFonts w:ascii="Arial" w:hAnsi="Arial" w:cs="Arial"/>
          <w:sz w:val="24"/>
          <w:szCs w:val="24"/>
        </w:rPr>
        <w:t xml:space="preserve"> </w:t>
      </w:r>
      <w:r w:rsidRPr="00DD5F52">
        <w:rPr>
          <w:rFonts w:ascii="Arial" w:hAnsi="Arial" w:cs="Arial"/>
          <w:sz w:val="24"/>
          <w:szCs w:val="24"/>
        </w:rPr>
        <w:t>provozuje úložiště (Litoměřice, J</w:t>
      </w:r>
      <w:r w:rsidRPr="00E270CA">
        <w:rPr>
          <w:rFonts w:ascii="Arial" w:hAnsi="Arial" w:cs="Arial"/>
          <w:sz w:val="24"/>
          <w:szCs w:val="24"/>
        </w:rPr>
        <w:t>áchymov, Rouchovany</w:t>
      </w:r>
      <w:r>
        <w:rPr>
          <w:rFonts w:ascii="Arial" w:hAnsi="Arial" w:cs="Arial"/>
          <w:sz w:val="24"/>
          <w:szCs w:val="24"/>
        </w:rPr>
        <w:t>/Dukovany</w:t>
      </w:r>
      <w:r w:rsidRPr="00E270CA">
        <w:rPr>
          <w:rFonts w:ascii="Arial" w:hAnsi="Arial" w:cs="Arial"/>
          <w:sz w:val="24"/>
          <w:szCs w:val="24"/>
        </w:rPr>
        <w:t xml:space="preserve">), jsou stálými členy Rady </w:t>
      </w:r>
      <w:r>
        <w:rPr>
          <w:rFonts w:ascii="Arial" w:hAnsi="Arial" w:cs="Arial"/>
          <w:sz w:val="24"/>
          <w:szCs w:val="24"/>
        </w:rPr>
        <w:t>S</w:t>
      </w:r>
      <w:r w:rsidR="00896259">
        <w:rPr>
          <w:rFonts w:ascii="Arial" w:hAnsi="Arial" w:cs="Arial"/>
          <w:sz w:val="24"/>
          <w:szCs w:val="24"/>
        </w:rPr>
        <w:t>právy</w:t>
      </w:r>
      <w:r>
        <w:rPr>
          <w:rFonts w:ascii="Arial" w:hAnsi="Arial" w:cs="Arial"/>
          <w:sz w:val="24"/>
          <w:szCs w:val="24"/>
        </w:rPr>
        <w:t>; je založena Občanská kontrolní komise ÚRAO Richard, Občanská bezpečnostní komise EDU a připravuje se založení Občanské kontrolní komise ÚRAO Bratrství</w:t>
      </w:r>
      <w:r w:rsidRPr="00DD5F52">
        <w:rPr>
          <w:rFonts w:ascii="Arial" w:hAnsi="Arial" w:cs="Arial"/>
          <w:sz w:val="24"/>
          <w:szCs w:val="24"/>
        </w:rPr>
        <w:t xml:space="preserve">. </w:t>
      </w:r>
      <w:r>
        <w:rPr>
          <w:rFonts w:ascii="Arial" w:hAnsi="Arial" w:cs="Arial"/>
          <w:sz w:val="24"/>
          <w:szCs w:val="24"/>
        </w:rPr>
        <w:t>N</w:t>
      </w:r>
      <w:r w:rsidRPr="00E270CA">
        <w:rPr>
          <w:rFonts w:ascii="Arial" w:hAnsi="Arial" w:cs="Arial"/>
          <w:sz w:val="24"/>
          <w:szCs w:val="24"/>
        </w:rPr>
        <w:t xml:space="preserve">a </w:t>
      </w:r>
      <w:r>
        <w:rPr>
          <w:rFonts w:ascii="Arial" w:hAnsi="Arial" w:cs="Arial"/>
          <w:sz w:val="24"/>
          <w:szCs w:val="24"/>
        </w:rPr>
        <w:t>ÚRAO</w:t>
      </w:r>
      <w:r w:rsidRPr="00E270CA">
        <w:rPr>
          <w:rFonts w:ascii="Arial" w:hAnsi="Arial" w:cs="Arial"/>
          <w:sz w:val="24"/>
          <w:szCs w:val="24"/>
        </w:rPr>
        <w:t xml:space="preserve"> Bratrství se </w:t>
      </w:r>
      <w:r>
        <w:rPr>
          <w:rFonts w:ascii="Arial" w:hAnsi="Arial" w:cs="Arial"/>
          <w:sz w:val="24"/>
          <w:szCs w:val="24"/>
        </w:rPr>
        <w:t>v</w:t>
      </w:r>
      <w:r w:rsidRPr="00E270CA">
        <w:rPr>
          <w:rFonts w:ascii="Arial" w:hAnsi="Arial" w:cs="Arial"/>
          <w:sz w:val="24"/>
          <w:szCs w:val="24"/>
        </w:rPr>
        <w:t xml:space="preserve"> budoucn</w:t>
      </w:r>
      <w:r>
        <w:rPr>
          <w:rFonts w:ascii="Arial" w:hAnsi="Arial" w:cs="Arial"/>
          <w:sz w:val="24"/>
          <w:szCs w:val="24"/>
        </w:rPr>
        <w:t>u</w:t>
      </w:r>
      <w:r w:rsidRPr="00E270CA">
        <w:rPr>
          <w:rFonts w:ascii="Arial" w:hAnsi="Arial" w:cs="Arial"/>
          <w:sz w:val="24"/>
          <w:szCs w:val="24"/>
        </w:rPr>
        <w:t xml:space="preserve"> předpoklád</w:t>
      </w:r>
      <w:r>
        <w:rPr>
          <w:rFonts w:ascii="Arial" w:hAnsi="Arial" w:cs="Arial"/>
          <w:sz w:val="24"/>
          <w:szCs w:val="24"/>
        </w:rPr>
        <w:t>á</w:t>
      </w:r>
      <w:r w:rsidRPr="00E270CA">
        <w:rPr>
          <w:rFonts w:ascii="Arial" w:hAnsi="Arial" w:cs="Arial"/>
          <w:sz w:val="24"/>
          <w:szCs w:val="24"/>
        </w:rPr>
        <w:t xml:space="preserve"> ukončení provozu a</w:t>
      </w:r>
      <w:r>
        <w:rPr>
          <w:rFonts w:ascii="Arial" w:hAnsi="Arial" w:cs="Arial"/>
          <w:sz w:val="24"/>
          <w:szCs w:val="24"/>
        </w:rPr>
        <w:t> </w:t>
      </w:r>
      <w:r w:rsidRPr="00E270CA">
        <w:rPr>
          <w:rFonts w:ascii="Arial" w:hAnsi="Arial" w:cs="Arial"/>
          <w:sz w:val="24"/>
          <w:szCs w:val="24"/>
        </w:rPr>
        <w:t>uzav</w:t>
      </w:r>
      <w:r>
        <w:rPr>
          <w:rFonts w:ascii="Arial" w:hAnsi="Arial" w:cs="Arial"/>
          <w:sz w:val="24"/>
          <w:szCs w:val="24"/>
        </w:rPr>
        <w:t>írání úložiště. N</w:t>
      </w:r>
      <w:r w:rsidRPr="00E270CA">
        <w:rPr>
          <w:rFonts w:ascii="Arial" w:hAnsi="Arial" w:cs="Arial"/>
          <w:sz w:val="24"/>
          <w:szCs w:val="24"/>
        </w:rPr>
        <w:t xml:space="preserve">a ÚRAO Richard se v nejbližší době chystá </w:t>
      </w:r>
      <w:r>
        <w:rPr>
          <w:rFonts w:ascii="Arial" w:hAnsi="Arial" w:cs="Arial"/>
          <w:sz w:val="24"/>
          <w:szCs w:val="24"/>
        </w:rPr>
        <w:t>modernizace úložiště, za účelem zvýšení ukládacích objemů.</w:t>
      </w:r>
      <w:r w:rsidRPr="00DD5F52">
        <w:rPr>
          <w:rFonts w:ascii="Arial" w:hAnsi="Arial" w:cs="Arial"/>
          <w:sz w:val="24"/>
          <w:szCs w:val="24"/>
        </w:rPr>
        <w:t xml:space="preserve"> Jedná se o skutečnosti, které si zaslouží osobní přístup s</w:t>
      </w:r>
      <w:r>
        <w:rPr>
          <w:rFonts w:ascii="Arial" w:hAnsi="Arial" w:cs="Arial"/>
          <w:sz w:val="24"/>
          <w:szCs w:val="24"/>
        </w:rPr>
        <w:t xml:space="preserve"> dotčenými </w:t>
      </w:r>
      <w:r w:rsidRPr="00DD5F52">
        <w:rPr>
          <w:rFonts w:ascii="Arial" w:hAnsi="Arial" w:cs="Arial"/>
          <w:sz w:val="24"/>
          <w:szCs w:val="24"/>
        </w:rPr>
        <w:t>obcemi či městy</w:t>
      </w:r>
      <w:r>
        <w:rPr>
          <w:rFonts w:ascii="Arial" w:hAnsi="Arial" w:cs="Arial"/>
          <w:sz w:val="24"/>
          <w:szCs w:val="24"/>
        </w:rPr>
        <w:t>,</w:t>
      </w:r>
      <w:r w:rsidRPr="00DD5F52">
        <w:rPr>
          <w:rFonts w:ascii="Arial" w:hAnsi="Arial" w:cs="Arial"/>
          <w:sz w:val="24"/>
          <w:szCs w:val="24"/>
        </w:rPr>
        <w:t xml:space="preserve"> na jejichž katastru se ÚRAO nacház</w:t>
      </w:r>
      <w:r>
        <w:rPr>
          <w:rFonts w:ascii="Arial" w:hAnsi="Arial" w:cs="Arial"/>
          <w:sz w:val="24"/>
          <w:szCs w:val="24"/>
        </w:rPr>
        <w:t>ejí.</w:t>
      </w:r>
    </w:p>
    <w:p w:rsidR="00DA0B00" w:rsidRPr="00457F39" w:rsidRDefault="00DA0B00" w:rsidP="00DA0B00">
      <w:pPr>
        <w:pStyle w:val="Normln0"/>
        <w:ind w:firstLine="708"/>
        <w:jc w:val="both"/>
        <w:rPr>
          <w:rFonts w:ascii="Arial" w:hAnsi="Arial" w:cs="Arial"/>
          <w:sz w:val="24"/>
          <w:szCs w:val="24"/>
        </w:rPr>
      </w:pPr>
      <w:r w:rsidRPr="00DD5F52">
        <w:rPr>
          <w:rFonts w:ascii="Arial" w:hAnsi="Arial" w:cs="Arial"/>
          <w:sz w:val="24"/>
          <w:szCs w:val="24"/>
        </w:rPr>
        <w:t>Neméně důležitým úkolem pro Správu</w:t>
      </w:r>
      <w:r>
        <w:rPr>
          <w:rFonts w:ascii="Arial" w:hAnsi="Arial" w:cs="Arial"/>
          <w:sz w:val="24"/>
          <w:szCs w:val="24"/>
        </w:rPr>
        <w:t xml:space="preserve"> </w:t>
      </w:r>
      <w:r w:rsidRPr="00DD5F52">
        <w:rPr>
          <w:rFonts w:ascii="Arial" w:hAnsi="Arial" w:cs="Arial"/>
          <w:sz w:val="24"/>
          <w:szCs w:val="24"/>
        </w:rPr>
        <w:t xml:space="preserve">je také budování a prohlubování vztahů v lokalitách zvažovaných pro umístění </w:t>
      </w:r>
      <w:r>
        <w:rPr>
          <w:rFonts w:ascii="Arial" w:hAnsi="Arial" w:cs="Arial"/>
          <w:sz w:val="24"/>
          <w:szCs w:val="24"/>
        </w:rPr>
        <w:t>HÚ</w:t>
      </w:r>
      <w:r w:rsidRPr="00DD5F52">
        <w:rPr>
          <w:rFonts w:ascii="Arial" w:hAnsi="Arial" w:cs="Arial"/>
          <w:sz w:val="24"/>
          <w:szCs w:val="24"/>
        </w:rPr>
        <w:t>. Jedním ze způsobů, jak aktivně zapojit do diskuze obyvatele lokalit, jsou veřejné besedy. Správa</w:t>
      </w:r>
      <w:r>
        <w:rPr>
          <w:rFonts w:ascii="Arial" w:hAnsi="Arial" w:cs="Arial"/>
          <w:sz w:val="24"/>
          <w:szCs w:val="24"/>
        </w:rPr>
        <w:t xml:space="preserve"> </w:t>
      </w:r>
      <w:r w:rsidRPr="00DD5F52">
        <w:rPr>
          <w:rFonts w:ascii="Arial" w:hAnsi="Arial" w:cs="Arial"/>
          <w:sz w:val="24"/>
          <w:szCs w:val="24"/>
        </w:rPr>
        <w:t xml:space="preserve">proto starostům všech </w:t>
      </w:r>
      <w:r w:rsidRPr="00457F39">
        <w:rPr>
          <w:rFonts w:ascii="Arial" w:hAnsi="Arial" w:cs="Arial"/>
          <w:sz w:val="24"/>
          <w:szCs w:val="24"/>
        </w:rPr>
        <w:t xml:space="preserve">40 obcí v 7 lokalitách </w:t>
      </w:r>
      <w:r w:rsidRPr="00E270CA">
        <w:rPr>
          <w:rFonts w:ascii="Arial" w:hAnsi="Arial" w:cs="Arial"/>
          <w:sz w:val="24"/>
          <w:szCs w:val="24"/>
        </w:rPr>
        <w:t>nabízí pořádání veřejných setkání přímo v</w:t>
      </w:r>
      <w:r>
        <w:rPr>
          <w:rFonts w:ascii="Arial" w:hAnsi="Arial" w:cs="Arial"/>
          <w:sz w:val="24"/>
          <w:szCs w:val="24"/>
        </w:rPr>
        <w:t> </w:t>
      </w:r>
      <w:r w:rsidRPr="00E270CA">
        <w:rPr>
          <w:rFonts w:ascii="Arial" w:hAnsi="Arial" w:cs="Arial"/>
          <w:sz w:val="24"/>
          <w:szCs w:val="24"/>
        </w:rPr>
        <w:t>obcích. Debaty jsou otevřené i pro zájemce z řad médií, ekologických organizací i</w:t>
      </w:r>
      <w:r>
        <w:rPr>
          <w:rFonts w:ascii="Arial" w:hAnsi="Arial" w:cs="Arial"/>
          <w:sz w:val="24"/>
          <w:szCs w:val="24"/>
        </w:rPr>
        <w:t> </w:t>
      </w:r>
      <w:r w:rsidRPr="00E270CA">
        <w:rPr>
          <w:rFonts w:ascii="Arial" w:hAnsi="Arial" w:cs="Arial"/>
          <w:sz w:val="24"/>
          <w:szCs w:val="24"/>
        </w:rPr>
        <w:t>jiných zájmových sdružení. V rámci otevřené diskuze o problematice ukládání radioaktivních odpadů pořádá Správa</w:t>
      </w:r>
      <w:r w:rsidRPr="00457F39">
        <w:rPr>
          <w:rFonts w:ascii="Arial" w:hAnsi="Arial" w:cs="Arial"/>
          <w:sz w:val="24"/>
          <w:szCs w:val="24"/>
        </w:rPr>
        <w:t xml:space="preserve"> </w:t>
      </w:r>
      <w:r>
        <w:rPr>
          <w:rFonts w:ascii="Arial" w:hAnsi="Arial" w:cs="Arial"/>
          <w:sz w:val="24"/>
          <w:szCs w:val="24"/>
        </w:rPr>
        <w:t xml:space="preserve">i </w:t>
      </w:r>
      <w:r w:rsidRPr="00457F39">
        <w:rPr>
          <w:rFonts w:ascii="Arial" w:hAnsi="Arial" w:cs="Arial"/>
          <w:sz w:val="24"/>
          <w:szCs w:val="24"/>
        </w:rPr>
        <w:t>disku</w:t>
      </w:r>
      <w:r>
        <w:rPr>
          <w:rFonts w:ascii="Arial" w:hAnsi="Arial" w:cs="Arial"/>
          <w:sz w:val="24"/>
          <w:szCs w:val="24"/>
        </w:rPr>
        <w:t>z</w:t>
      </w:r>
      <w:r w:rsidRPr="00457F39">
        <w:rPr>
          <w:rFonts w:ascii="Arial" w:hAnsi="Arial" w:cs="Arial"/>
          <w:sz w:val="24"/>
          <w:szCs w:val="24"/>
        </w:rPr>
        <w:t xml:space="preserve">ní akce </w:t>
      </w:r>
      <w:r>
        <w:rPr>
          <w:rFonts w:ascii="Arial" w:hAnsi="Arial" w:cs="Arial"/>
          <w:sz w:val="24"/>
          <w:szCs w:val="24"/>
        </w:rPr>
        <w:t>za</w:t>
      </w:r>
      <w:r w:rsidRPr="00457F39">
        <w:rPr>
          <w:rFonts w:ascii="Arial" w:hAnsi="Arial" w:cs="Arial"/>
          <w:sz w:val="24"/>
          <w:szCs w:val="24"/>
        </w:rPr>
        <w:t xml:space="preserve"> účast</w:t>
      </w:r>
      <w:r>
        <w:rPr>
          <w:rFonts w:ascii="Arial" w:hAnsi="Arial" w:cs="Arial"/>
          <w:sz w:val="24"/>
          <w:szCs w:val="24"/>
        </w:rPr>
        <w:t>i</w:t>
      </w:r>
      <w:r w:rsidRPr="00457F39">
        <w:rPr>
          <w:rFonts w:ascii="Arial" w:hAnsi="Arial" w:cs="Arial"/>
          <w:sz w:val="24"/>
          <w:szCs w:val="24"/>
        </w:rPr>
        <w:t xml:space="preserve"> předních českých i</w:t>
      </w:r>
      <w:r>
        <w:rPr>
          <w:rFonts w:ascii="Arial" w:hAnsi="Arial" w:cs="Arial"/>
          <w:sz w:val="24"/>
          <w:szCs w:val="24"/>
        </w:rPr>
        <w:t> </w:t>
      </w:r>
      <w:r w:rsidRPr="00457F39">
        <w:rPr>
          <w:rFonts w:ascii="Arial" w:hAnsi="Arial" w:cs="Arial"/>
          <w:sz w:val="24"/>
          <w:szCs w:val="24"/>
        </w:rPr>
        <w:t>zahraničních odborníků (veřejná slyšení, mezinárodní konference, kulaté stoly apod.). Na tyto akce jsou prioritně zváni občané a zástupci lokalit, ale velmi vítána je také úča</w:t>
      </w:r>
      <w:r w:rsidRPr="00E270CA">
        <w:rPr>
          <w:rFonts w:ascii="Arial" w:hAnsi="Arial" w:cs="Arial"/>
          <w:sz w:val="24"/>
          <w:szCs w:val="24"/>
        </w:rPr>
        <w:t>st široké veřejnosti.</w:t>
      </w:r>
      <w:r>
        <w:rPr>
          <w:rFonts w:ascii="Arial" w:hAnsi="Arial" w:cs="Arial"/>
          <w:sz w:val="24"/>
          <w:szCs w:val="24"/>
        </w:rPr>
        <w:t xml:space="preserve"> Dále je obcím umožněno seznámit se s průběhem geologického průzkumu, a to prostřednictvím prezentací geologicko-průzkumných prací odborníky z řad Správy, kde mají obyvatelé vytipovaných lokalit možnost seznámit se s metodami a rozsahem průzkumů. V tomto směru bude komunikace pokračovat i</w:t>
      </w:r>
      <w:r w:rsidR="00483B2B">
        <w:rPr>
          <w:rFonts w:ascii="Arial" w:hAnsi="Arial" w:cs="Arial"/>
          <w:sz w:val="24"/>
          <w:szCs w:val="24"/>
        </w:rPr>
        <w:t> </w:t>
      </w:r>
      <w:r>
        <w:rPr>
          <w:rFonts w:ascii="Arial" w:hAnsi="Arial" w:cs="Arial"/>
          <w:sz w:val="24"/>
          <w:szCs w:val="24"/>
        </w:rPr>
        <w:t>v roce 2017.</w:t>
      </w:r>
    </w:p>
    <w:p w:rsidR="00DA0B00" w:rsidRDefault="00DA0B00" w:rsidP="00DA0B00">
      <w:pPr>
        <w:pStyle w:val="Normln0"/>
        <w:ind w:firstLine="709"/>
        <w:jc w:val="both"/>
        <w:rPr>
          <w:rFonts w:ascii="Arial" w:hAnsi="Arial" w:cs="Arial"/>
          <w:sz w:val="24"/>
          <w:szCs w:val="24"/>
        </w:rPr>
      </w:pPr>
      <w:r w:rsidRPr="009A447F">
        <w:rPr>
          <w:rFonts w:ascii="Arial" w:hAnsi="Arial" w:cs="Arial"/>
          <w:sz w:val="24"/>
          <w:szCs w:val="24"/>
        </w:rPr>
        <w:t>Správa</w:t>
      </w:r>
      <w:r>
        <w:rPr>
          <w:rFonts w:ascii="Arial" w:hAnsi="Arial" w:cs="Arial"/>
          <w:sz w:val="24"/>
          <w:szCs w:val="24"/>
        </w:rPr>
        <w:t xml:space="preserve"> </w:t>
      </w:r>
      <w:r w:rsidRPr="009A447F">
        <w:rPr>
          <w:rFonts w:ascii="Arial" w:hAnsi="Arial" w:cs="Arial"/>
          <w:sz w:val="24"/>
          <w:szCs w:val="24"/>
        </w:rPr>
        <w:t xml:space="preserve">bude také nadále </w:t>
      </w:r>
      <w:r>
        <w:rPr>
          <w:rFonts w:ascii="Arial" w:hAnsi="Arial" w:cs="Arial"/>
          <w:sz w:val="24"/>
          <w:szCs w:val="24"/>
        </w:rPr>
        <w:t>organizovat exkurze</w:t>
      </w:r>
      <w:r w:rsidRPr="009A447F">
        <w:rPr>
          <w:rFonts w:ascii="Arial" w:hAnsi="Arial" w:cs="Arial"/>
          <w:sz w:val="24"/>
          <w:szCs w:val="24"/>
        </w:rPr>
        <w:t xml:space="preserve"> do jaderných zařízení u nás i</w:t>
      </w:r>
      <w:r w:rsidR="00021724">
        <w:rPr>
          <w:rFonts w:ascii="Arial" w:hAnsi="Arial" w:cs="Arial"/>
          <w:sz w:val="24"/>
          <w:szCs w:val="24"/>
        </w:rPr>
        <w:t> </w:t>
      </w:r>
      <w:r w:rsidRPr="009A447F">
        <w:rPr>
          <w:rFonts w:ascii="Arial" w:hAnsi="Arial" w:cs="Arial"/>
          <w:sz w:val="24"/>
          <w:szCs w:val="24"/>
        </w:rPr>
        <w:t>v</w:t>
      </w:r>
      <w:r w:rsidR="00021724">
        <w:rPr>
          <w:rFonts w:ascii="Arial" w:hAnsi="Arial" w:cs="Arial"/>
          <w:sz w:val="24"/>
          <w:szCs w:val="24"/>
        </w:rPr>
        <w:t> </w:t>
      </w:r>
      <w:r w:rsidRPr="009A447F">
        <w:rPr>
          <w:rFonts w:ascii="Arial" w:hAnsi="Arial" w:cs="Arial"/>
          <w:sz w:val="24"/>
          <w:szCs w:val="24"/>
        </w:rPr>
        <w:t>zahraničí.</w:t>
      </w:r>
      <w:r>
        <w:rPr>
          <w:rFonts w:ascii="Arial" w:hAnsi="Arial" w:cs="Arial"/>
          <w:sz w:val="24"/>
          <w:szCs w:val="24"/>
        </w:rPr>
        <w:t xml:space="preserve"> Rádi bychom v roce 2017 uspořádali opět exkurzi do jaderných zařízení v zahraničí. </w:t>
      </w:r>
      <w:r w:rsidRPr="009A447F">
        <w:rPr>
          <w:rFonts w:ascii="Arial" w:hAnsi="Arial" w:cs="Arial"/>
          <w:sz w:val="24"/>
          <w:szCs w:val="24"/>
        </w:rPr>
        <w:t xml:space="preserve">Plánujeme pokračovat s odbornými návštěvami do </w:t>
      </w:r>
      <w:r>
        <w:rPr>
          <w:rFonts w:ascii="Arial" w:hAnsi="Arial" w:cs="Arial"/>
          <w:sz w:val="24"/>
          <w:szCs w:val="24"/>
        </w:rPr>
        <w:t>ÚRAO</w:t>
      </w:r>
      <w:r w:rsidRPr="009A447F">
        <w:rPr>
          <w:rFonts w:ascii="Arial" w:hAnsi="Arial" w:cs="Arial"/>
          <w:sz w:val="24"/>
          <w:szCs w:val="24"/>
        </w:rPr>
        <w:t xml:space="preserve"> Richard a</w:t>
      </w:r>
      <w:r>
        <w:rPr>
          <w:rFonts w:ascii="Arial" w:hAnsi="Arial" w:cs="Arial"/>
          <w:sz w:val="24"/>
          <w:szCs w:val="24"/>
        </w:rPr>
        <w:t> ÚRAO</w:t>
      </w:r>
      <w:r w:rsidRPr="009A447F">
        <w:rPr>
          <w:rFonts w:ascii="Arial" w:hAnsi="Arial" w:cs="Arial"/>
          <w:sz w:val="24"/>
          <w:szCs w:val="24"/>
        </w:rPr>
        <w:t xml:space="preserve"> Dukovany, do podzemní laboratoře Josef</w:t>
      </w:r>
      <w:r w:rsidRPr="00457F39">
        <w:rPr>
          <w:rFonts w:ascii="Arial" w:hAnsi="Arial" w:cs="Arial"/>
          <w:sz w:val="24"/>
          <w:szCs w:val="24"/>
        </w:rPr>
        <w:t xml:space="preserve">, </w:t>
      </w:r>
      <w:r w:rsidRPr="00E270CA">
        <w:rPr>
          <w:rFonts w:ascii="Arial" w:hAnsi="Arial" w:cs="Arial"/>
          <w:sz w:val="24"/>
          <w:szCs w:val="24"/>
        </w:rPr>
        <w:t>do jaderných elektráren Temelín a</w:t>
      </w:r>
      <w:r>
        <w:rPr>
          <w:rFonts w:ascii="Arial" w:hAnsi="Arial" w:cs="Arial"/>
          <w:sz w:val="24"/>
          <w:szCs w:val="24"/>
        </w:rPr>
        <w:t> </w:t>
      </w:r>
      <w:r w:rsidRPr="00E270CA">
        <w:rPr>
          <w:rFonts w:ascii="Arial" w:hAnsi="Arial" w:cs="Arial"/>
          <w:sz w:val="24"/>
          <w:szCs w:val="24"/>
        </w:rPr>
        <w:t xml:space="preserve">Dukovany a </w:t>
      </w:r>
      <w:r>
        <w:rPr>
          <w:rFonts w:ascii="Arial" w:hAnsi="Arial" w:cs="Arial"/>
          <w:sz w:val="24"/>
          <w:szCs w:val="24"/>
        </w:rPr>
        <w:t>především do</w:t>
      </w:r>
      <w:r w:rsidRPr="00E270CA">
        <w:rPr>
          <w:rFonts w:ascii="Arial" w:hAnsi="Arial" w:cs="Arial"/>
          <w:sz w:val="24"/>
          <w:szCs w:val="24"/>
        </w:rPr>
        <w:t xml:space="preserve"> podzemní laboratoře Bukov</w:t>
      </w:r>
      <w:r>
        <w:rPr>
          <w:rFonts w:ascii="Arial" w:hAnsi="Arial" w:cs="Arial"/>
          <w:sz w:val="24"/>
          <w:szCs w:val="24"/>
        </w:rPr>
        <w:t>, kde Správa realizuje svou výzkumnou činnost</w:t>
      </w:r>
      <w:r w:rsidRPr="00E270CA">
        <w:rPr>
          <w:rFonts w:ascii="Arial" w:hAnsi="Arial" w:cs="Arial"/>
          <w:sz w:val="24"/>
          <w:szCs w:val="24"/>
        </w:rPr>
        <w:t>.</w:t>
      </w:r>
    </w:p>
    <w:p w:rsidR="00DA0B00" w:rsidRPr="0058473F" w:rsidRDefault="00DA0B00" w:rsidP="00DA0B00">
      <w:pPr>
        <w:pStyle w:val="Normln0"/>
        <w:ind w:firstLine="709"/>
        <w:jc w:val="both"/>
        <w:rPr>
          <w:rFonts w:ascii="Arial" w:hAnsi="Arial" w:cs="Arial"/>
          <w:bCs/>
          <w:sz w:val="24"/>
          <w:szCs w:val="24"/>
        </w:rPr>
      </w:pPr>
      <w:r w:rsidRPr="0058473F">
        <w:rPr>
          <w:rFonts w:ascii="Arial" w:hAnsi="Arial" w:cs="Arial"/>
          <w:bCs/>
          <w:sz w:val="24"/>
          <w:szCs w:val="24"/>
        </w:rPr>
        <w:t xml:space="preserve">V první polovině roku 2017 provede Správa průzkum veřejného mínění ve vytipovaných lokalitách s cílem zjištění názorů obyvatel a </w:t>
      </w:r>
      <w:r>
        <w:rPr>
          <w:rFonts w:ascii="Arial" w:hAnsi="Arial" w:cs="Arial"/>
          <w:bCs/>
          <w:sz w:val="24"/>
          <w:szCs w:val="24"/>
        </w:rPr>
        <w:t xml:space="preserve">následně porovnání výsledků </w:t>
      </w:r>
      <w:r w:rsidRPr="0058473F">
        <w:rPr>
          <w:rFonts w:ascii="Arial" w:hAnsi="Arial" w:cs="Arial"/>
          <w:bCs/>
          <w:sz w:val="24"/>
          <w:szCs w:val="24"/>
        </w:rPr>
        <w:t xml:space="preserve">s průzkumy z minulých let. </w:t>
      </w:r>
    </w:p>
    <w:p w:rsidR="00DA0B00" w:rsidRPr="0058473F" w:rsidRDefault="00DA0B00" w:rsidP="00DA0B00">
      <w:pPr>
        <w:pStyle w:val="Normln0"/>
        <w:ind w:firstLine="709"/>
        <w:jc w:val="both"/>
        <w:rPr>
          <w:rFonts w:ascii="Arial" w:hAnsi="Arial" w:cs="Arial"/>
          <w:sz w:val="24"/>
          <w:szCs w:val="24"/>
        </w:rPr>
      </w:pPr>
      <w:r w:rsidRPr="0058473F">
        <w:rPr>
          <w:rFonts w:ascii="Arial" w:hAnsi="Arial" w:cs="Arial"/>
          <w:sz w:val="24"/>
          <w:szCs w:val="24"/>
        </w:rPr>
        <w:t>I v roce 2017 bude Správa spolupracovat s Pracovní skupinou pro dialog o </w:t>
      </w:r>
      <w:r>
        <w:rPr>
          <w:rFonts w:ascii="Arial" w:hAnsi="Arial" w:cs="Arial"/>
          <w:sz w:val="24"/>
          <w:szCs w:val="24"/>
        </w:rPr>
        <w:t>hlubinném úložišti</w:t>
      </w:r>
      <w:r w:rsidRPr="0058473F">
        <w:rPr>
          <w:rFonts w:ascii="Arial" w:hAnsi="Arial" w:cs="Arial"/>
          <w:sz w:val="24"/>
          <w:szCs w:val="24"/>
        </w:rPr>
        <w:t xml:space="preserve">, která je platformou pro pravidelnou výměnu názorů a transparentní zapojení dotčených obcí do výběru lokality. Pracovní skupina pro dialog se zabývá </w:t>
      </w:r>
      <w:r>
        <w:rPr>
          <w:rFonts w:ascii="Arial" w:hAnsi="Arial" w:cs="Arial"/>
          <w:sz w:val="24"/>
          <w:szCs w:val="24"/>
        </w:rPr>
        <w:t xml:space="preserve">otázkami spojenými s </w:t>
      </w:r>
      <w:r w:rsidRPr="0058473F">
        <w:rPr>
          <w:rFonts w:ascii="Arial" w:hAnsi="Arial" w:cs="Arial"/>
          <w:sz w:val="24"/>
          <w:szCs w:val="24"/>
        </w:rPr>
        <w:t>hlubinným úložištěm od listopadu 2010.</w:t>
      </w:r>
      <w:r w:rsidRPr="0058473F">
        <w:t xml:space="preserve"> </w:t>
      </w:r>
      <w:r w:rsidRPr="0058473F">
        <w:rPr>
          <w:rFonts w:ascii="Arial" w:hAnsi="Arial" w:cs="Arial"/>
          <w:sz w:val="24"/>
          <w:szCs w:val="24"/>
        </w:rPr>
        <w:t>Jejím cílem je zvýšení transparentnosti procesu výběru lokality pro HÚ a posílení role obcí v tomto procesu. Během roku 2014 se institucionálně transformovala pod Radu vlády pro energetickou a surovinovou strategii a její činnost je tak zaštítěna vládou ČR. Transformace byla dovršena 6. ledna 2015, kdy byl ministrem průmyslu a obchodu a</w:t>
      </w:r>
      <w:r>
        <w:rPr>
          <w:rFonts w:ascii="Arial" w:hAnsi="Arial" w:cs="Arial"/>
          <w:sz w:val="24"/>
          <w:szCs w:val="24"/>
        </w:rPr>
        <w:t> </w:t>
      </w:r>
      <w:r w:rsidRPr="0058473F">
        <w:rPr>
          <w:rFonts w:ascii="Arial" w:hAnsi="Arial" w:cs="Arial"/>
          <w:sz w:val="24"/>
          <w:szCs w:val="24"/>
        </w:rPr>
        <w:t>předsedou této Rady vlády Ing. Janem Mládkem vydán samostatný Statut Pracovní skupiny pro dialog o HÚ. Většinu členů Pracovní skupiny tvoří představitelé místních samospráv z lokalit zvažovaných pro HÚ a místních ekologických organizací. Dále jsou zastoupeni představitelé obou komor parlamentu, státních institucí zodpovědných za nakládání s</w:t>
      </w:r>
      <w:r>
        <w:rPr>
          <w:rFonts w:ascii="Arial" w:hAnsi="Arial" w:cs="Arial"/>
          <w:sz w:val="24"/>
          <w:szCs w:val="24"/>
        </w:rPr>
        <w:t> radioaktivními odpady</w:t>
      </w:r>
      <w:r w:rsidRPr="0058473F">
        <w:rPr>
          <w:rFonts w:ascii="Arial" w:hAnsi="Arial" w:cs="Arial"/>
          <w:sz w:val="24"/>
          <w:szCs w:val="24"/>
        </w:rPr>
        <w:t>, odborníci v humanitních i</w:t>
      </w:r>
      <w:r>
        <w:rPr>
          <w:rFonts w:ascii="Arial" w:hAnsi="Arial" w:cs="Arial"/>
          <w:sz w:val="24"/>
          <w:szCs w:val="24"/>
        </w:rPr>
        <w:t> </w:t>
      </w:r>
      <w:r w:rsidRPr="0058473F">
        <w:rPr>
          <w:rFonts w:ascii="Arial" w:hAnsi="Arial" w:cs="Arial"/>
          <w:sz w:val="24"/>
          <w:szCs w:val="24"/>
        </w:rPr>
        <w:t xml:space="preserve">technických oborech a představitelé celostátních ekologických sdružení. </w:t>
      </w:r>
    </w:p>
    <w:p w:rsidR="00DA0B00" w:rsidRPr="00E270CA" w:rsidRDefault="00DA0B00" w:rsidP="00DA0B00">
      <w:pPr>
        <w:pStyle w:val="Normln0"/>
        <w:ind w:firstLine="708"/>
        <w:jc w:val="both"/>
        <w:rPr>
          <w:rFonts w:ascii="Arial" w:hAnsi="Arial" w:cs="Arial"/>
          <w:sz w:val="24"/>
          <w:szCs w:val="24"/>
        </w:rPr>
      </w:pPr>
      <w:r w:rsidRPr="0058473F">
        <w:rPr>
          <w:rFonts w:ascii="Arial" w:hAnsi="Arial" w:cs="Arial"/>
          <w:sz w:val="24"/>
          <w:szCs w:val="24"/>
        </w:rPr>
        <w:t>Mezinárodní komunikace je nedílnou součástí aktivit Správy. Vedle spolupráce a aktivní účasti na mezinárodních výzkumných projektech se zaměstnanci Správy</w:t>
      </w:r>
      <w:r>
        <w:rPr>
          <w:rFonts w:ascii="Arial" w:hAnsi="Arial" w:cs="Arial"/>
          <w:sz w:val="24"/>
          <w:szCs w:val="24"/>
        </w:rPr>
        <w:t xml:space="preserve"> </w:t>
      </w:r>
      <w:r w:rsidRPr="0058473F">
        <w:rPr>
          <w:rFonts w:ascii="Arial" w:hAnsi="Arial" w:cs="Arial"/>
          <w:sz w:val="24"/>
          <w:szCs w:val="24"/>
        </w:rPr>
        <w:t>účastní mezinárodních konferencí o nejnovějších poznatcích a přístupech ve všech oborech spojených s nakládáním s RAO. Užší vztahy jsou udržovány se zahraničními agenturami zajišťujícími ukládání RAO (zejména Švédsko, Finsko, Francie).</w:t>
      </w:r>
    </w:p>
    <w:p w:rsidR="00DA0B00" w:rsidRPr="002E33C8" w:rsidRDefault="00DA0B00" w:rsidP="00DA0B00">
      <w:pPr>
        <w:pStyle w:val="Normln0"/>
        <w:ind w:firstLine="708"/>
        <w:jc w:val="both"/>
        <w:rPr>
          <w:rFonts w:ascii="Arial" w:hAnsi="Arial" w:cs="Arial"/>
          <w:sz w:val="24"/>
          <w:szCs w:val="24"/>
        </w:rPr>
      </w:pPr>
    </w:p>
    <w:p w:rsidR="00DA0B00" w:rsidRPr="002E33C8" w:rsidRDefault="00DA0B00" w:rsidP="00DA0B00">
      <w:pPr>
        <w:pStyle w:val="Nadpis1"/>
        <w:rPr>
          <w:rFonts w:ascii="Arial" w:hAnsi="Arial" w:cs="Arial"/>
        </w:rPr>
      </w:pPr>
      <w:bookmarkStart w:id="99" w:name="_Toc515325885"/>
      <w:bookmarkStart w:id="100" w:name="_Toc14078639"/>
      <w:bookmarkStart w:id="101" w:name="_Toc453575863"/>
      <w:bookmarkEnd w:id="91"/>
      <w:bookmarkEnd w:id="92"/>
      <w:bookmarkEnd w:id="93"/>
      <w:bookmarkEnd w:id="94"/>
      <w:r w:rsidRPr="002E33C8">
        <w:rPr>
          <w:rFonts w:ascii="Arial" w:hAnsi="Arial" w:cs="Arial"/>
        </w:rPr>
        <w:t>Správní a odborně-technické činnosti</w:t>
      </w:r>
      <w:bookmarkEnd w:id="99"/>
      <w:bookmarkEnd w:id="100"/>
      <w:bookmarkEnd w:id="101"/>
    </w:p>
    <w:p w:rsidR="00DA0B00" w:rsidRPr="002E33C8" w:rsidRDefault="00DA0B00" w:rsidP="00DA0B00">
      <w:pPr>
        <w:pStyle w:val="Normln0"/>
        <w:rPr>
          <w:rFonts w:ascii="Arial" w:hAnsi="Arial" w:cs="Arial"/>
          <w:sz w:val="24"/>
          <w:szCs w:val="24"/>
        </w:rPr>
      </w:pPr>
    </w:p>
    <w:p w:rsidR="00DA0B00" w:rsidRPr="002E33C8" w:rsidRDefault="00DA0B00" w:rsidP="00DA0B00">
      <w:pPr>
        <w:pStyle w:val="NormlnCharCharChar"/>
        <w:ind w:firstLine="709"/>
        <w:jc w:val="both"/>
        <w:rPr>
          <w:rFonts w:ascii="Arial" w:hAnsi="Arial" w:cs="Arial"/>
        </w:rPr>
      </w:pPr>
      <w:r w:rsidRPr="002E33C8">
        <w:rPr>
          <w:rFonts w:ascii="Arial" w:hAnsi="Arial" w:cs="Arial"/>
        </w:rPr>
        <w:t>Kromě činností uvedených v předchozích kapitolách zajišťuje Správa i řadu dalších činností, souvisejících s předmětem činnosti Správy či prováděných na základě požadavků příslušných obecně závazných předpisů. Jedná se zejména o</w:t>
      </w:r>
      <w:r>
        <w:rPr>
          <w:rFonts w:ascii="Arial" w:hAnsi="Arial" w:cs="Arial"/>
        </w:rPr>
        <w:t> </w:t>
      </w:r>
      <w:r w:rsidRPr="002E33C8">
        <w:rPr>
          <w:rFonts w:ascii="Arial" w:hAnsi="Arial" w:cs="Arial"/>
        </w:rPr>
        <w:t>vedení evidence převzatých radioaktivních odpadů a jaderných materiálů, o</w:t>
      </w:r>
      <w:r>
        <w:rPr>
          <w:rFonts w:ascii="Arial" w:hAnsi="Arial" w:cs="Arial"/>
        </w:rPr>
        <w:t> </w:t>
      </w:r>
      <w:r w:rsidRPr="002E33C8">
        <w:rPr>
          <w:rFonts w:ascii="Arial" w:hAnsi="Arial" w:cs="Arial"/>
        </w:rPr>
        <w:t xml:space="preserve">zajištění příslušných povolení SÚJB, o správu odvodů na jaderný účet, kontrolu rezervy držitelů povolení na vyřazování jejich zařízení z provozu, komunikaci s veřejností, zahraniční spolupráci a zabezpečování a kontrolu </w:t>
      </w:r>
      <w:r w:rsidR="00A63B3F">
        <w:rPr>
          <w:rFonts w:ascii="Arial" w:hAnsi="Arial" w:cs="Arial"/>
        </w:rPr>
        <w:t>kvality</w:t>
      </w:r>
      <w:r w:rsidRPr="002E33C8">
        <w:rPr>
          <w:rFonts w:ascii="Arial" w:hAnsi="Arial" w:cs="Arial"/>
        </w:rPr>
        <w:t>.</w:t>
      </w:r>
    </w:p>
    <w:p w:rsidR="00DA0B00" w:rsidRDefault="00DA0B00" w:rsidP="00DA0B00">
      <w:pPr>
        <w:pStyle w:val="NormlnCharCharChar"/>
        <w:ind w:firstLine="708"/>
        <w:jc w:val="both"/>
        <w:rPr>
          <w:rFonts w:ascii="Arial" w:hAnsi="Arial" w:cs="Arial"/>
        </w:rPr>
      </w:pPr>
      <w:r w:rsidRPr="00334748">
        <w:rPr>
          <w:rFonts w:ascii="Arial" w:hAnsi="Arial" w:cs="Arial"/>
        </w:rPr>
        <w:t>V roce 201</w:t>
      </w:r>
      <w:r>
        <w:rPr>
          <w:rFonts w:ascii="Arial" w:hAnsi="Arial" w:cs="Arial"/>
        </w:rPr>
        <w:t>6</w:t>
      </w:r>
      <w:r w:rsidRPr="00334748">
        <w:rPr>
          <w:rFonts w:ascii="Arial" w:hAnsi="Arial" w:cs="Arial"/>
        </w:rPr>
        <w:t xml:space="preserve"> má Správa celkem </w:t>
      </w:r>
      <w:r>
        <w:rPr>
          <w:rFonts w:ascii="Arial" w:hAnsi="Arial" w:cs="Arial"/>
        </w:rPr>
        <w:t>62</w:t>
      </w:r>
      <w:r w:rsidRPr="00334748">
        <w:rPr>
          <w:rFonts w:ascii="Arial" w:hAnsi="Arial" w:cs="Arial"/>
        </w:rPr>
        <w:t xml:space="preserve"> </w:t>
      </w:r>
      <w:r w:rsidR="00E17415">
        <w:rPr>
          <w:rFonts w:ascii="Arial" w:hAnsi="Arial" w:cs="Arial"/>
        </w:rPr>
        <w:t>pracovních</w:t>
      </w:r>
      <w:r w:rsidR="00E17415" w:rsidRPr="00334748">
        <w:rPr>
          <w:rFonts w:ascii="Arial" w:hAnsi="Arial" w:cs="Arial"/>
        </w:rPr>
        <w:t xml:space="preserve"> </w:t>
      </w:r>
      <w:r w:rsidRPr="00334748">
        <w:rPr>
          <w:rFonts w:ascii="Arial" w:hAnsi="Arial" w:cs="Arial"/>
        </w:rPr>
        <w:t>míst, zahrnujících i místa pro zajištění fyzické ochrany úložišť Richard a Bratrství. Pro rok 201</w:t>
      </w:r>
      <w:r>
        <w:rPr>
          <w:rFonts w:ascii="Arial" w:hAnsi="Arial" w:cs="Arial"/>
        </w:rPr>
        <w:t>7</w:t>
      </w:r>
      <w:r w:rsidRPr="00334748">
        <w:rPr>
          <w:rFonts w:ascii="Arial" w:hAnsi="Arial" w:cs="Arial"/>
        </w:rPr>
        <w:t xml:space="preserve"> je plánováno zvýšení </w:t>
      </w:r>
      <w:r w:rsidR="00E17415">
        <w:rPr>
          <w:rFonts w:ascii="Arial" w:hAnsi="Arial" w:cs="Arial"/>
        </w:rPr>
        <w:t>pracovních</w:t>
      </w:r>
      <w:r w:rsidR="00E17415" w:rsidRPr="00334748">
        <w:rPr>
          <w:rFonts w:ascii="Arial" w:hAnsi="Arial" w:cs="Arial"/>
        </w:rPr>
        <w:t xml:space="preserve"> </w:t>
      </w:r>
      <w:r w:rsidRPr="00334748">
        <w:rPr>
          <w:rFonts w:ascii="Arial" w:hAnsi="Arial" w:cs="Arial"/>
        </w:rPr>
        <w:t xml:space="preserve">míst </w:t>
      </w:r>
      <w:r w:rsidRPr="001125DC">
        <w:rPr>
          <w:rFonts w:ascii="Arial" w:hAnsi="Arial" w:cs="Arial"/>
        </w:rPr>
        <w:t xml:space="preserve">o </w:t>
      </w:r>
      <w:r>
        <w:rPr>
          <w:rFonts w:ascii="Arial" w:hAnsi="Arial" w:cs="Arial"/>
        </w:rPr>
        <w:t>4</w:t>
      </w:r>
      <w:r w:rsidRPr="001125DC">
        <w:rPr>
          <w:rFonts w:ascii="Arial" w:hAnsi="Arial" w:cs="Arial"/>
        </w:rPr>
        <w:t xml:space="preserve"> zejména</w:t>
      </w:r>
      <w:r>
        <w:rPr>
          <w:rFonts w:ascii="Arial" w:hAnsi="Arial" w:cs="Arial"/>
        </w:rPr>
        <w:t xml:space="preserve"> </w:t>
      </w:r>
      <w:r w:rsidRPr="00334748">
        <w:rPr>
          <w:rFonts w:ascii="Arial" w:hAnsi="Arial" w:cs="Arial"/>
        </w:rPr>
        <w:t xml:space="preserve">z důvodu potřeby posílit </w:t>
      </w:r>
      <w:r>
        <w:rPr>
          <w:rFonts w:ascii="Arial" w:hAnsi="Arial" w:cs="Arial"/>
        </w:rPr>
        <w:t xml:space="preserve">projekt </w:t>
      </w:r>
      <w:r w:rsidRPr="00334748">
        <w:rPr>
          <w:rFonts w:ascii="Arial" w:hAnsi="Arial" w:cs="Arial"/>
        </w:rPr>
        <w:t xml:space="preserve">přípravy HÚ v oblasti </w:t>
      </w:r>
      <w:r>
        <w:rPr>
          <w:rFonts w:ascii="Arial" w:hAnsi="Arial" w:cs="Arial"/>
        </w:rPr>
        <w:t>provozu PVP Bukov</w:t>
      </w:r>
      <w:r w:rsidRPr="00334748">
        <w:rPr>
          <w:rFonts w:ascii="Arial" w:hAnsi="Arial" w:cs="Arial"/>
        </w:rPr>
        <w:t>.</w:t>
      </w:r>
    </w:p>
    <w:p w:rsidR="00DA0B00" w:rsidRDefault="00DA0B00" w:rsidP="00DA0B00">
      <w:pPr>
        <w:pStyle w:val="NormlnCharCharChar"/>
        <w:ind w:firstLine="705"/>
        <w:jc w:val="both"/>
        <w:rPr>
          <w:rFonts w:ascii="Arial" w:hAnsi="Arial" w:cs="Arial"/>
        </w:rPr>
      </w:pPr>
      <w:r w:rsidRPr="002E33C8">
        <w:rPr>
          <w:rFonts w:ascii="Arial" w:hAnsi="Arial" w:cs="Arial"/>
        </w:rPr>
        <w:t>Od konce roku 2000 sídlí Správa v rekonstruovaných prostorách v rozsahu jednoho patra a části přízemí a suterénu v budově Ministerstva vnitra v Dlážděné ulici v Praze 1 č</w:t>
      </w:r>
      <w:r>
        <w:rPr>
          <w:rFonts w:ascii="Arial" w:hAnsi="Arial" w:cs="Arial"/>
        </w:rPr>
        <w:t>. </w:t>
      </w:r>
      <w:r w:rsidRPr="002E33C8">
        <w:rPr>
          <w:rFonts w:ascii="Arial" w:hAnsi="Arial" w:cs="Arial"/>
        </w:rPr>
        <w:t xml:space="preserve">p. 1004. Od roku 2012 má Správa zajištěn pronájem dalších kancelářských prostorů v sousední budově, v Dlážděné </w:t>
      </w:r>
      <w:r>
        <w:rPr>
          <w:rFonts w:ascii="Arial" w:hAnsi="Arial" w:cs="Arial"/>
        </w:rPr>
        <w:t>č. p. 1586</w:t>
      </w:r>
      <w:r w:rsidRPr="002E33C8">
        <w:rPr>
          <w:rFonts w:ascii="Arial" w:hAnsi="Arial" w:cs="Arial"/>
        </w:rPr>
        <w:t>. Pro zajištění své činnosti je Správa v potřebném rozsahu vybavena kancelářskou technikou i</w:t>
      </w:r>
      <w:r>
        <w:rPr>
          <w:rFonts w:ascii="Arial" w:hAnsi="Arial" w:cs="Arial"/>
        </w:rPr>
        <w:t> </w:t>
      </w:r>
      <w:r w:rsidRPr="002E33C8">
        <w:rPr>
          <w:rFonts w:ascii="Arial" w:hAnsi="Arial" w:cs="Arial"/>
        </w:rPr>
        <w:t>dopravními prostředky.</w:t>
      </w:r>
      <w:r>
        <w:rPr>
          <w:rFonts w:ascii="Arial" w:hAnsi="Arial" w:cs="Arial"/>
        </w:rPr>
        <w:t xml:space="preserve"> </w:t>
      </w:r>
    </w:p>
    <w:p w:rsidR="00DA0B00" w:rsidRPr="002E33C8" w:rsidRDefault="00DA0B00" w:rsidP="00DA0B00">
      <w:pPr>
        <w:pStyle w:val="NormlnCharCharChar"/>
        <w:ind w:firstLine="705"/>
        <w:jc w:val="both"/>
        <w:rPr>
          <w:rFonts w:ascii="Arial" w:hAnsi="Arial" w:cs="Arial"/>
        </w:rPr>
      </w:pPr>
      <w:r w:rsidRPr="001C7C4F">
        <w:rPr>
          <w:rFonts w:ascii="Arial" w:hAnsi="Arial" w:cs="Arial"/>
        </w:rPr>
        <w:t>V současné době má Správa uzavř</w:t>
      </w:r>
      <w:r w:rsidR="002164D0">
        <w:rPr>
          <w:rFonts w:ascii="Arial" w:hAnsi="Arial" w:cs="Arial"/>
        </w:rPr>
        <w:t>enu</w:t>
      </w:r>
      <w:r w:rsidRPr="001C7C4F">
        <w:rPr>
          <w:rFonts w:ascii="Arial" w:hAnsi="Arial" w:cs="Arial"/>
        </w:rPr>
        <w:t xml:space="preserve"> smlouvu o nájmu kancelářských prostor </w:t>
      </w:r>
      <w:r w:rsidR="002164D0">
        <w:rPr>
          <w:rFonts w:ascii="Arial" w:hAnsi="Arial" w:cs="Arial"/>
        </w:rPr>
        <w:t xml:space="preserve">v rozsahu jednoho patra </w:t>
      </w:r>
      <w:r w:rsidRPr="001C7C4F">
        <w:rPr>
          <w:rFonts w:ascii="Arial" w:hAnsi="Arial" w:cs="Arial"/>
        </w:rPr>
        <w:t>v budově státu Na Florenci 7-9 (Praha 1), ve které by mohlo být perspektivně zajištěno samostatné sídlo Správy v nadcházejícím období. Proto Správa rovněž zvažuje možnost získání práva hospodaření k této budově. Jedná se o dvě samostatné nemovitosti - pozemek parc. č. 204/1, jehož součástí je budova č. p. 1685 a pozemek parc. č. 203, jehož součástí je budova č. p. 1686, vše v k. ú. Nové Město, obec Praha. Nemovitosti jsou ve vlastnictví státu, přičemž právo hospodaření k nemovitostem má Výzkumný a vývojový ústav dřevařský (VVÚD), Praha, s.</w:t>
      </w:r>
      <w:r>
        <w:rPr>
          <w:rFonts w:ascii="Arial" w:hAnsi="Arial" w:cs="Arial"/>
        </w:rPr>
        <w:t xml:space="preserve"> p., jehož zřizovatelem je MPO. </w:t>
      </w:r>
      <w:r w:rsidRPr="00975BD7">
        <w:rPr>
          <w:rFonts w:ascii="Arial" w:hAnsi="Arial" w:cs="Arial"/>
        </w:rPr>
        <w:t>Převzetím tohoto objektu by Správa získala perspektivní prostory pro svou činnost bez nutnosti platit v</w:t>
      </w:r>
      <w:r w:rsidR="00021724">
        <w:rPr>
          <w:rFonts w:ascii="Arial" w:hAnsi="Arial" w:cs="Arial"/>
        </w:rPr>
        <w:t> </w:t>
      </w:r>
      <w:r w:rsidRPr="00975BD7">
        <w:rPr>
          <w:rFonts w:ascii="Arial" w:hAnsi="Arial" w:cs="Arial"/>
        </w:rPr>
        <w:t>budoucnu komerční nájem. Zároveň by získala i vhodný prostor pro nové informační středisko.</w:t>
      </w:r>
    </w:p>
    <w:p w:rsidR="00DA0B00" w:rsidRDefault="00DA0B00" w:rsidP="00DA0B00">
      <w:pPr>
        <w:pStyle w:val="Normln0"/>
        <w:rPr>
          <w:rFonts w:ascii="Arial" w:hAnsi="Arial" w:cs="Arial"/>
          <w:sz w:val="24"/>
          <w:szCs w:val="24"/>
        </w:rPr>
      </w:pPr>
    </w:p>
    <w:p w:rsidR="00DA0B00" w:rsidRPr="002E33C8" w:rsidRDefault="00DA0B00" w:rsidP="00DA0B00">
      <w:pPr>
        <w:pStyle w:val="Nadpis1"/>
        <w:rPr>
          <w:rFonts w:ascii="Arial" w:hAnsi="Arial" w:cs="Arial"/>
        </w:rPr>
      </w:pPr>
      <w:bookmarkStart w:id="102" w:name="_Toc453575864"/>
      <w:r w:rsidRPr="002E33C8">
        <w:rPr>
          <w:rFonts w:ascii="Arial" w:hAnsi="Arial" w:cs="Arial"/>
        </w:rPr>
        <w:t>Rozpočet Správy pro rok 201</w:t>
      </w:r>
      <w:r>
        <w:rPr>
          <w:rFonts w:ascii="Arial" w:hAnsi="Arial" w:cs="Arial"/>
        </w:rPr>
        <w:t>7</w:t>
      </w:r>
      <w:bookmarkEnd w:id="102"/>
      <w:r w:rsidRPr="002E33C8">
        <w:rPr>
          <w:rFonts w:ascii="Arial" w:hAnsi="Arial" w:cs="Arial"/>
        </w:rPr>
        <w:t xml:space="preserve"> </w:t>
      </w:r>
    </w:p>
    <w:p w:rsidR="00DA0B00" w:rsidRPr="002E33C8" w:rsidRDefault="00DA0B00" w:rsidP="00DA0B00">
      <w:pPr>
        <w:pStyle w:val="Normln0"/>
        <w:rPr>
          <w:rFonts w:ascii="Arial" w:hAnsi="Arial" w:cs="Arial"/>
          <w:sz w:val="24"/>
          <w:szCs w:val="24"/>
        </w:rPr>
      </w:pPr>
    </w:p>
    <w:p w:rsidR="00DA0B00" w:rsidRDefault="00DA0B00" w:rsidP="003E6254">
      <w:pPr>
        <w:pStyle w:val="NormlnNormlnA0"/>
        <w:spacing w:after="120"/>
        <w:ind w:firstLine="709"/>
        <w:rPr>
          <w:rFonts w:ascii="Arial" w:hAnsi="Arial" w:cs="Arial"/>
        </w:rPr>
      </w:pPr>
      <w:r w:rsidRPr="002E33C8">
        <w:rPr>
          <w:rFonts w:ascii="Arial" w:hAnsi="Arial" w:cs="Arial"/>
        </w:rPr>
        <w:t>Níže uvedený rozpočet je navržen tak, aby pokrýval náklady na činnosti Správy v roce 201</w:t>
      </w:r>
      <w:r>
        <w:rPr>
          <w:rFonts w:ascii="Arial" w:hAnsi="Arial" w:cs="Arial"/>
        </w:rPr>
        <w:t>7</w:t>
      </w:r>
      <w:r w:rsidRPr="002E33C8">
        <w:rPr>
          <w:rFonts w:ascii="Arial" w:hAnsi="Arial" w:cs="Arial"/>
        </w:rPr>
        <w:t xml:space="preserve">. Podrobný rozpočet byl projednán na </w:t>
      </w:r>
      <w:r>
        <w:rPr>
          <w:rFonts w:ascii="Arial" w:hAnsi="Arial" w:cs="Arial"/>
        </w:rPr>
        <w:t>89</w:t>
      </w:r>
      <w:r w:rsidRPr="002E33C8">
        <w:rPr>
          <w:rFonts w:ascii="Arial" w:hAnsi="Arial" w:cs="Arial"/>
        </w:rPr>
        <w:t>. zasedání Rady Správy.</w:t>
      </w:r>
    </w:p>
    <w:tbl>
      <w:tblPr>
        <w:tblW w:w="9084" w:type="dxa"/>
        <w:tblInd w:w="58" w:type="dxa"/>
        <w:tblLayout w:type="fixed"/>
        <w:tblCellMar>
          <w:left w:w="70" w:type="dxa"/>
          <w:right w:w="70" w:type="dxa"/>
        </w:tblCellMar>
        <w:tblLook w:val="0000" w:firstRow="0" w:lastRow="0" w:firstColumn="0" w:lastColumn="0" w:noHBand="0" w:noVBand="0"/>
      </w:tblPr>
      <w:tblGrid>
        <w:gridCol w:w="1288"/>
        <w:gridCol w:w="4536"/>
        <w:gridCol w:w="1086"/>
        <w:gridCol w:w="1087"/>
        <w:gridCol w:w="1087"/>
      </w:tblGrid>
      <w:tr w:rsidR="00DA0B00" w:rsidRPr="00334748" w:rsidTr="001D312A">
        <w:trPr>
          <w:trHeight w:val="228"/>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b/>
                <w:sz w:val="20"/>
                <w:szCs w:val="20"/>
              </w:rPr>
            </w:pPr>
            <w:r w:rsidRPr="00334748">
              <w:rPr>
                <w:rFonts w:ascii="Arial" w:hAnsi="Arial" w:cs="Arial"/>
                <w:b/>
                <w:sz w:val="20"/>
                <w:szCs w:val="20"/>
              </w:rPr>
              <w:t>Rozpočtová</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DA0B00" w:rsidRPr="00334748" w:rsidRDefault="00DA0B00" w:rsidP="001D312A">
            <w:pPr>
              <w:jc w:val="left"/>
              <w:rPr>
                <w:rFonts w:ascii="Arial" w:hAnsi="Arial" w:cs="Arial"/>
                <w:b/>
                <w:sz w:val="20"/>
                <w:szCs w:val="20"/>
              </w:rPr>
            </w:pPr>
            <w:r w:rsidRPr="00334748">
              <w:rPr>
                <w:rFonts w:ascii="Arial" w:hAnsi="Arial" w:cs="Arial"/>
                <w:b/>
                <w:sz w:val="20"/>
                <w:szCs w:val="20"/>
              </w:rPr>
              <w:t>Název</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b/>
                <w:sz w:val="20"/>
                <w:szCs w:val="20"/>
              </w:rPr>
            </w:pPr>
            <w:r w:rsidRPr="00334748">
              <w:rPr>
                <w:rFonts w:ascii="Arial" w:hAnsi="Arial" w:cs="Arial"/>
                <w:b/>
                <w:sz w:val="20"/>
                <w:szCs w:val="20"/>
              </w:rPr>
              <w:t>Rozpočet</w:t>
            </w:r>
          </w:p>
        </w:tc>
        <w:tc>
          <w:tcPr>
            <w:tcW w:w="1087" w:type="dxa"/>
            <w:tcBorders>
              <w:top w:val="single" w:sz="4" w:space="0" w:color="auto"/>
              <w:left w:val="nil"/>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b/>
                <w:sz w:val="20"/>
                <w:szCs w:val="20"/>
              </w:rPr>
            </w:pPr>
            <w:r w:rsidRPr="00334748">
              <w:rPr>
                <w:rFonts w:ascii="Arial" w:hAnsi="Arial" w:cs="Arial"/>
                <w:b/>
                <w:sz w:val="20"/>
                <w:szCs w:val="20"/>
              </w:rPr>
              <w:t>Rozpočet</w:t>
            </w:r>
          </w:p>
        </w:tc>
        <w:tc>
          <w:tcPr>
            <w:tcW w:w="1087" w:type="dxa"/>
            <w:tcBorders>
              <w:top w:val="single" w:sz="4" w:space="0" w:color="auto"/>
              <w:left w:val="nil"/>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b/>
                <w:sz w:val="20"/>
                <w:szCs w:val="20"/>
              </w:rPr>
            </w:pPr>
            <w:r w:rsidRPr="00334748">
              <w:rPr>
                <w:rFonts w:ascii="Arial" w:hAnsi="Arial" w:cs="Arial"/>
                <w:b/>
                <w:sz w:val="20"/>
                <w:szCs w:val="20"/>
              </w:rPr>
              <w:t>Index</w:t>
            </w:r>
          </w:p>
        </w:tc>
      </w:tr>
      <w:tr w:rsidR="00DA0B00" w:rsidRPr="00334748" w:rsidTr="001D312A">
        <w:trPr>
          <w:trHeight w:val="228"/>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b/>
                <w:sz w:val="20"/>
                <w:szCs w:val="20"/>
              </w:rPr>
            </w:pPr>
            <w:r w:rsidRPr="00334748">
              <w:rPr>
                <w:rFonts w:ascii="Arial" w:hAnsi="Arial" w:cs="Arial"/>
                <w:b/>
                <w:sz w:val="20"/>
                <w:szCs w:val="20"/>
              </w:rPr>
              <w:t>skladba</w:t>
            </w:r>
          </w:p>
        </w:tc>
        <w:tc>
          <w:tcPr>
            <w:tcW w:w="4536" w:type="dxa"/>
            <w:tcBorders>
              <w:top w:val="nil"/>
              <w:left w:val="nil"/>
              <w:bottom w:val="single" w:sz="4" w:space="0" w:color="auto"/>
              <w:right w:val="single" w:sz="4" w:space="0" w:color="auto"/>
            </w:tcBorders>
            <w:shd w:val="clear" w:color="auto" w:fill="auto"/>
            <w:noWrap/>
            <w:vAlign w:val="bottom"/>
          </w:tcPr>
          <w:p w:rsidR="00DA0B00" w:rsidRPr="00334748" w:rsidRDefault="00DA0B00" w:rsidP="001D312A">
            <w:pPr>
              <w:jc w:val="right"/>
              <w:rPr>
                <w:rFonts w:ascii="Arial" w:hAnsi="Arial" w:cs="Arial"/>
                <w:b/>
                <w:sz w:val="20"/>
                <w:szCs w:val="20"/>
              </w:rPr>
            </w:pPr>
            <w:r w:rsidRPr="00334748">
              <w:rPr>
                <w:rFonts w:ascii="Arial" w:hAnsi="Arial" w:cs="Arial"/>
                <w:b/>
                <w:sz w:val="20"/>
                <w:szCs w:val="20"/>
              </w:rPr>
              <w:t>(tis. Kč)</w:t>
            </w:r>
          </w:p>
        </w:tc>
        <w:tc>
          <w:tcPr>
            <w:tcW w:w="1086" w:type="dxa"/>
            <w:tcBorders>
              <w:top w:val="nil"/>
              <w:left w:val="nil"/>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b/>
                <w:sz w:val="20"/>
                <w:szCs w:val="20"/>
              </w:rPr>
            </w:pPr>
            <w:r w:rsidRPr="00334748">
              <w:rPr>
                <w:rFonts w:ascii="Arial" w:hAnsi="Arial" w:cs="Arial"/>
                <w:b/>
                <w:sz w:val="20"/>
                <w:szCs w:val="20"/>
              </w:rPr>
              <w:t>201</w:t>
            </w:r>
            <w:r>
              <w:rPr>
                <w:rFonts w:ascii="Arial" w:hAnsi="Arial" w:cs="Arial"/>
                <w:b/>
                <w:sz w:val="20"/>
                <w:szCs w:val="20"/>
              </w:rPr>
              <w:t>6</w:t>
            </w:r>
          </w:p>
        </w:tc>
        <w:tc>
          <w:tcPr>
            <w:tcW w:w="1087" w:type="dxa"/>
            <w:tcBorders>
              <w:top w:val="nil"/>
              <w:left w:val="nil"/>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b/>
                <w:sz w:val="20"/>
                <w:szCs w:val="20"/>
              </w:rPr>
            </w:pPr>
            <w:r w:rsidRPr="00334748">
              <w:rPr>
                <w:rFonts w:ascii="Arial" w:hAnsi="Arial" w:cs="Arial"/>
                <w:b/>
                <w:sz w:val="20"/>
                <w:szCs w:val="20"/>
              </w:rPr>
              <w:t>201</w:t>
            </w:r>
            <w:r>
              <w:rPr>
                <w:rFonts w:ascii="Arial" w:hAnsi="Arial" w:cs="Arial"/>
                <w:b/>
                <w:sz w:val="20"/>
                <w:szCs w:val="20"/>
              </w:rPr>
              <w:t>7</w:t>
            </w:r>
          </w:p>
        </w:tc>
        <w:tc>
          <w:tcPr>
            <w:tcW w:w="1087" w:type="dxa"/>
            <w:tcBorders>
              <w:top w:val="nil"/>
              <w:left w:val="nil"/>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b/>
                <w:sz w:val="20"/>
                <w:szCs w:val="20"/>
              </w:rPr>
            </w:pPr>
          </w:p>
        </w:tc>
      </w:tr>
      <w:tr w:rsidR="00DA0B00" w:rsidRPr="00334748" w:rsidTr="001D312A">
        <w:trPr>
          <w:trHeight w:val="228"/>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sz w:val="20"/>
                <w:szCs w:val="20"/>
              </w:rPr>
            </w:pPr>
            <w:r w:rsidRPr="00334748">
              <w:rPr>
                <w:rFonts w:ascii="Arial" w:hAnsi="Arial" w:cs="Arial"/>
                <w:sz w:val="20"/>
                <w:szCs w:val="20"/>
              </w:rPr>
              <w:t xml:space="preserve"> </w:t>
            </w:r>
          </w:p>
        </w:tc>
        <w:tc>
          <w:tcPr>
            <w:tcW w:w="4536" w:type="dxa"/>
            <w:tcBorders>
              <w:top w:val="nil"/>
              <w:left w:val="nil"/>
              <w:bottom w:val="single" w:sz="4" w:space="0" w:color="auto"/>
              <w:right w:val="single" w:sz="4" w:space="0" w:color="auto"/>
            </w:tcBorders>
            <w:shd w:val="clear" w:color="auto" w:fill="auto"/>
            <w:noWrap/>
            <w:vAlign w:val="bottom"/>
          </w:tcPr>
          <w:p w:rsidR="00DA0B00" w:rsidRPr="00334748" w:rsidRDefault="00DA0B00" w:rsidP="001D312A">
            <w:pPr>
              <w:rPr>
                <w:rFonts w:ascii="Arial" w:hAnsi="Arial" w:cs="Arial"/>
                <w:sz w:val="20"/>
                <w:szCs w:val="20"/>
              </w:rPr>
            </w:pPr>
            <w:r w:rsidRPr="00334748">
              <w:rPr>
                <w:rFonts w:ascii="Arial" w:hAnsi="Arial" w:cs="Arial"/>
                <w:sz w:val="20"/>
                <w:szCs w:val="20"/>
              </w:rPr>
              <w:t>VÝDAJE</w:t>
            </w:r>
          </w:p>
        </w:tc>
        <w:tc>
          <w:tcPr>
            <w:tcW w:w="1086" w:type="dxa"/>
            <w:tcBorders>
              <w:top w:val="nil"/>
              <w:left w:val="nil"/>
              <w:bottom w:val="single" w:sz="4" w:space="0" w:color="auto"/>
              <w:right w:val="single" w:sz="4" w:space="0" w:color="auto"/>
            </w:tcBorders>
            <w:shd w:val="clear" w:color="auto" w:fill="auto"/>
            <w:noWrap/>
            <w:vAlign w:val="bottom"/>
          </w:tcPr>
          <w:p w:rsidR="00DA0B00" w:rsidRPr="00334748" w:rsidRDefault="00DA0B00" w:rsidP="001D312A">
            <w:pPr>
              <w:jc w:val="right"/>
              <w:rPr>
                <w:rFonts w:ascii="Arial" w:hAnsi="Arial" w:cs="Arial"/>
                <w:sz w:val="20"/>
                <w:szCs w:val="20"/>
              </w:rPr>
            </w:pPr>
            <w:r w:rsidRPr="00334748">
              <w:rPr>
                <w:rFonts w:ascii="Arial" w:hAnsi="Arial" w:cs="Arial"/>
                <w:sz w:val="20"/>
                <w:szCs w:val="20"/>
              </w:rPr>
              <w:t xml:space="preserve"> </w:t>
            </w:r>
          </w:p>
        </w:tc>
        <w:tc>
          <w:tcPr>
            <w:tcW w:w="1087" w:type="dxa"/>
            <w:tcBorders>
              <w:top w:val="nil"/>
              <w:left w:val="nil"/>
              <w:bottom w:val="single" w:sz="4" w:space="0" w:color="auto"/>
              <w:right w:val="single" w:sz="4" w:space="0" w:color="auto"/>
            </w:tcBorders>
            <w:shd w:val="clear" w:color="auto" w:fill="auto"/>
            <w:noWrap/>
            <w:vAlign w:val="bottom"/>
          </w:tcPr>
          <w:p w:rsidR="00DA0B00" w:rsidRPr="00334748" w:rsidRDefault="00DA0B00" w:rsidP="001D312A">
            <w:pPr>
              <w:jc w:val="right"/>
              <w:rPr>
                <w:rFonts w:ascii="Arial" w:hAnsi="Arial" w:cs="Arial"/>
                <w:sz w:val="20"/>
                <w:szCs w:val="20"/>
              </w:rPr>
            </w:pPr>
            <w:r w:rsidRPr="00334748">
              <w:rPr>
                <w:rFonts w:ascii="Arial" w:hAnsi="Arial" w:cs="Arial"/>
                <w:sz w:val="20"/>
                <w:szCs w:val="20"/>
              </w:rPr>
              <w:t xml:space="preserve"> </w:t>
            </w:r>
          </w:p>
        </w:tc>
        <w:tc>
          <w:tcPr>
            <w:tcW w:w="1087" w:type="dxa"/>
            <w:tcBorders>
              <w:top w:val="nil"/>
              <w:left w:val="nil"/>
              <w:bottom w:val="single" w:sz="4" w:space="0" w:color="auto"/>
              <w:right w:val="single" w:sz="4" w:space="0" w:color="auto"/>
            </w:tcBorders>
            <w:shd w:val="clear" w:color="auto" w:fill="auto"/>
            <w:noWrap/>
            <w:vAlign w:val="bottom"/>
          </w:tcPr>
          <w:p w:rsidR="00DA0B00" w:rsidRPr="00334748" w:rsidRDefault="00DA0B00" w:rsidP="001D312A">
            <w:pPr>
              <w:jc w:val="right"/>
              <w:rPr>
                <w:rFonts w:ascii="Arial" w:hAnsi="Arial" w:cs="Arial"/>
                <w:sz w:val="20"/>
                <w:szCs w:val="20"/>
              </w:rPr>
            </w:pPr>
            <w:r w:rsidRPr="00334748">
              <w:rPr>
                <w:rFonts w:ascii="Arial" w:hAnsi="Arial" w:cs="Arial"/>
                <w:sz w:val="20"/>
                <w:szCs w:val="20"/>
              </w:rPr>
              <w:t> </w:t>
            </w:r>
          </w:p>
        </w:tc>
      </w:tr>
      <w:tr w:rsidR="00DA0B00" w:rsidRPr="00C1424D" w:rsidTr="001D312A">
        <w:trPr>
          <w:trHeight w:val="228"/>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C1424D" w:rsidRDefault="00DA0B00" w:rsidP="0036152E">
            <w:pPr>
              <w:jc w:val="left"/>
              <w:rPr>
                <w:rFonts w:ascii="Arial" w:hAnsi="Arial" w:cs="Arial"/>
                <w:sz w:val="20"/>
                <w:szCs w:val="20"/>
              </w:rPr>
            </w:pPr>
            <w:r w:rsidRPr="00C1424D">
              <w:rPr>
                <w:rFonts w:ascii="Arial" w:hAnsi="Arial" w:cs="Arial"/>
                <w:sz w:val="20"/>
                <w:szCs w:val="20"/>
              </w:rPr>
              <w:t>5</w:t>
            </w:r>
          </w:p>
        </w:tc>
        <w:tc>
          <w:tcPr>
            <w:tcW w:w="4536"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rPr>
                <w:rFonts w:ascii="Arial" w:hAnsi="Arial" w:cs="Arial"/>
                <w:sz w:val="20"/>
                <w:szCs w:val="20"/>
              </w:rPr>
            </w:pPr>
            <w:r w:rsidRPr="00C1424D">
              <w:rPr>
                <w:rFonts w:ascii="Arial" w:hAnsi="Arial" w:cs="Arial"/>
                <w:sz w:val="20"/>
                <w:szCs w:val="20"/>
              </w:rPr>
              <w:t xml:space="preserve">Běžné výdaje </w:t>
            </w:r>
          </w:p>
        </w:tc>
        <w:tc>
          <w:tcPr>
            <w:tcW w:w="1086"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jc w:val="right"/>
              <w:rPr>
                <w:rFonts w:ascii="Arial" w:hAnsi="Arial" w:cs="Arial"/>
                <w:sz w:val="20"/>
                <w:szCs w:val="20"/>
              </w:rPr>
            </w:pPr>
            <w:r w:rsidRPr="00C1424D">
              <w:rPr>
                <w:rFonts w:ascii="Arial" w:hAnsi="Arial" w:cs="Arial"/>
                <w:sz w:val="20"/>
                <w:szCs w:val="20"/>
              </w:rPr>
              <w:t>192 600</w:t>
            </w:r>
          </w:p>
        </w:tc>
        <w:tc>
          <w:tcPr>
            <w:tcW w:w="1087" w:type="dxa"/>
            <w:tcBorders>
              <w:top w:val="nil"/>
              <w:left w:val="nil"/>
              <w:bottom w:val="single" w:sz="4" w:space="0" w:color="auto"/>
              <w:right w:val="single" w:sz="4" w:space="0" w:color="auto"/>
            </w:tcBorders>
            <w:shd w:val="clear" w:color="auto" w:fill="auto"/>
            <w:noWrap/>
            <w:vAlign w:val="bottom"/>
          </w:tcPr>
          <w:p w:rsidR="00DA0B00" w:rsidRPr="00C1424D" w:rsidRDefault="00DA0B00" w:rsidP="006033EA">
            <w:pPr>
              <w:jc w:val="right"/>
              <w:rPr>
                <w:rFonts w:ascii="Arial" w:hAnsi="Arial" w:cs="Arial"/>
                <w:sz w:val="20"/>
                <w:szCs w:val="20"/>
              </w:rPr>
            </w:pPr>
            <w:r w:rsidRPr="00C1424D">
              <w:rPr>
                <w:rFonts w:ascii="Arial" w:hAnsi="Arial" w:cs="Arial"/>
                <w:sz w:val="20"/>
                <w:szCs w:val="20"/>
              </w:rPr>
              <w:t>2</w:t>
            </w:r>
            <w:r w:rsidR="00763A2F">
              <w:rPr>
                <w:rFonts w:ascii="Arial" w:hAnsi="Arial" w:cs="Arial"/>
                <w:sz w:val="20"/>
                <w:szCs w:val="20"/>
              </w:rPr>
              <w:t>7</w:t>
            </w:r>
            <w:r w:rsidRPr="00C1424D">
              <w:rPr>
                <w:rFonts w:ascii="Arial" w:hAnsi="Arial" w:cs="Arial"/>
                <w:sz w:val="20"/>
                <w:szCs w:val="20"/>
              </w:rPr>
              <w:t xml:space="preserve">8 </w:t>
            </w:r>
            <w:r w:rsidR="006033EA">
              <w:rPr>
                <w:rFonts w:ascii="Arial" w:hAnsi="Arial" w:cs="Arial"/>
                <w:sz w:val="20"/>
                <w:szCs w:val="20"/>
              </w:rPr>
              <w:t>2</w:t>
            </w:r>
            <w:r w:rsidRPr="00C1424D">
              <w:rPr>
                <w:rFonts w:ascii="Arial" w:hAnsi="Arial" w:cs="Arial"/>
                <w:sz w:val="20"/>
                <w:szCs w:val="20"/>
              </w:rPr>
              <w:t>10</w:t>
            </w:r>
          </w:p>
        </w:tc>
        <w:tc>
          <w:tcPr>
            <w:tcW w:w="1087" w:type="dxa"/>
            <w:tcBorders>
              <w:top w:val="nil"/>
              <w:left w:val="nil"/>
              <w:bottom w:val="single" w:sz="4" w:space="0" w:color="auto"/>
              <w:right w:val="single" w:sz="4" w:space="0" w:color="auto"/>
            </w:tcBorders>
            <w:shd w:val="clear" w:color="auto" w:fill="auto"/>
            <w:noWrap/>
            <w:vAlign w:val="bottom"/>
          </w:tcPr>
          <w:p w:rsidR="00DA0B00" w:rsidRPr="00C1424D" w:rsidRDefault="00DA0B00" w:rsidP="006033EA">
            <w:pPr>
              <w:jc w:val="right"/>
              <w:rPr>
                <w:rFonts w:ascii="Arial" w:hAnsi="Arial" w:cs="Arial"/>
                <w:sz w:val="20"/>
                <w:szCs w:val="20"/>
              </w:rPr>
            </w:pPr>
            <w:r w:rsidRPr="00C1424D">
              <w:rPr>
                <w:rFonts w:ascii="Arial" w:hAnsi="Arial" w:cs="Arial"/>
                <w:sz w:val="20"/>
                <w:szCs w:val="20"/>
              </w:rPr>
              <w:t>1,</w:t>
            </w:r>
            <w:r w:rsidR="00763A2F">
              <w:rPr>
                <w:rFonts w:ascii="Arial" w:hAnsi="Arial" w:cs="Arial"/>
                <w:sz w:val="20"/>
                <w:szCs w:val="20"/>
              </w:rPr>
              <w:t>4</w:t>
            </w:r>
            <w:r w:rsidR="006033EA">
              <w:rPr>
                <w:rFonts w:ascii="Arial" w:hAnsi="Arial" w:cs="Arial"/>
                <w:sz w:val="20"/>
                <w:szCs w:val="20"/>
              </w:rPr>
              <w:t>4</w:t>
            </w:r>
          </w:p>
        </w:tc>
      </w:tr>
      <w:tr w:rsidR="00DA0B00" w:rsidRPr="00C1424D" w:rsidTr="001D312A">
        <w:trPr>
          <w:trHeight w:val="228"/>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C1424D" w:rsidRDefault="0036152E" w:rsidP="0036152E">
            <w:pPr>
              <w:jc w:val="left"/>
              <w:rPr>
                <w:rFonts w:ascii="Arial" w:hAnsi="Arial" w:cs="Arial"/>
                <w:sz w:val="20"/>
                <w:szCs w:val="20"/>
              </w:rPr>
            </w:pPr>
            <w:r w:rsidRPr="00C1424D">
              <w:rPr>
                <w:rFonts w:ascii="Arial" w:hAnsi="Arial" w:cs="Arial"/>
                <w:sz w:val="20"/>
                <w:szCs w:val="20"/>
              </w:rPr>
              <w:t xml:space="preserve"> </w:t>
            </w:r>
            <w:r w:rsidR="00DA0B00" w:rsidRPr="00C1424D">
              <w:rPr>
                <w:rFonts w:ascii="Arial" w:hAnsi="Arial" w:cs="Arial"/>
                <w:sz w:val="20"/>
                <w:szCs w:val="20"/>
              </w:rPr>
              <w:t>501</w:t>
            </w:r>
            <w:r w:rsidR="00DE2CDC">
              <w:rPr>
                <w:rFonts w:ascii="Arial" w:hAnsi="Arial" w:cs="Arial"/>
                <w:sz w:val="20"/>
                <w:szCs w:val="20"/>
              </w:rPr>
              <w:t>1</w:t>
            </w:r>
          </w:p>
        </w:tc>
        <w:tc>
          <w:tcPr>
            <w:tcW w:w="4536"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rPr>
                <w:rFonts w:ascii="Arial" w:hAnsi="Arial" w:cs="Arial"/>
                <w:sz w:val="20"/>
                <w:szCs w:val="20"/>
              </w:rPr>
            </w:pPr>
            <w:r w:rsidRPr="00C1424D">
              <w:rPr>
                <w:rFonts w:ascii="Arial" w:hAnsi="Arial" w:cs="Arial"/>
                <w:sz w:val="20"/>
                <w:szCs w:val="20"/>
              </w:rPr>
              <w:t xml:space="preserve">Platy </w:t>
            </w:r>
            <w:r w:rsidR="00DE2CDC" w:rsidRPr="00DE2CDC">
              <w:rPr>
                <w:rFonts w:ascii="Arial" w:hAnsi="Arial" w:cs="Arial"/>
                <w:sz w:val="20"/>
                <w:szCs w:val="20"/>
              </w:rPr>
              <w:t>zaměstnanců v pracovním poměru vyjma   zaměstnanců na služebních místech</w:t>
            </w:r>
          </w:p>
        </w:tc>
        <w:tc>
          <w:tcPr>
            <w:tcW w:w="1086"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jc w:val="right"/>
              <w:rPr>
                <w:rFonts w:ascii="Arial" w:hAnsi="Arial" w:cs="Arial"/>
                <w:sz w:val="20"/>
                <w:szCs w:val="20"/>
              </w:rPr>
            </w:pPr>
            <w:r w:rsidRPr="00C1424D">
              <w:rPr>
                <w:rFonts w:ascii="Arial" w:hAnsi="Arial" w:cs="Arial"/>
                <w:sz w:val="20"/>
                <w:szCs w:val="20"/>
              </w:rPr>
              <w:t>27 290</w:t>
            </w:r>
          </w:p>
        </w:tc>
        <w:tc>
          <w:tcPr>
            <w:tcW w:w="1087" w:type="dxa"/>
            <w:tcBorders>
              <w:top w:val="nil"/>
              <w:left w:val="nil"/>
              <w:bottom w:val="single" w:sz="4" w:space="0" w:color="auto"/>
              <w:right w:val="single" w:sz="4" w:space="0" w:color="auto"/>
            </w:tcBorders>
            <w:shd w:val="clear" w:color="auto" w:fill="auto"/>
            <w:noWrap/>
            <w:vAlign w:val="bottom"/>
          </w:tcPr>
          <w:p w:rsidR="00DA0B00" w:rsidRPr="00C1424D" w:rsidRDefault="00262FDA" w:rsidP="001D312A">
            <w:pPr>
              <w:jc w:val="right"/>
              <w:rPr>
                <w:rFonts w:ascii="Arial" w:hAnsi="Arial" w:cs="Arial"/>
                <w:sz w:val="20"/>
                <w:szCs w:val="20"/>
              </w:rPr>
            </w:pPr>
            <w:r w:rsidRPr="00C1424D">
              <w:rPr>
                <w:rFonts w:ascii="Arial" w:hAnsi="Arial" w:cs="Arial"/>
                <w:sz w:val="20"/>
                <w:szCs w:val="20"/>
              </w:rPr>
              <w:t>33 238</w:t>
            </w:r>
          </w:p>
        </w:tc>
        <w:tc>
          <w:tcPr>
            <w:tcW w:w="1087" w:type="dxa"/>
            <w:tcBorders>
              <w:top w:val="nil"/>
              <w:left w:val="nil"/>
              <w:bottom w:val="single" w:sz="4" w:space="0" w:color="auto"/>
              <w:right w:val="single" w:sz="4" w:space="0" w:color="auto"/>
            </w:tcBorders>
            <w:shd w:val="clear" w:color="auto" w:fill="auto"/>
            <w:noWrap/>
            <w:vAlign w:val="bottom"/>
          </w:tcPr>
          <w:p w:rsidR="00DA0B00" w:rsidRPr="00C1424D" w:rsidRDefault="00DA0B00" w:rsidP="00262FDA">
            <w:pPr>
              <w:jc w:val="right"/>
              <w:rPr>
                <w:rFonts w:ascii="Arial" w:hAnsi="Arial" w:cs="Arial"/>
                <w:sz w:val="20"/>
                <w:szCs w:val="20"/>
              </w:rPr>
            </w:pPr>
            <w:r w:rsidRPr="00C1424D">
              <w:rPr>
                <w:rFonts w:ascii="Arial" w:hAnsi="Arial" w:cs="Arial"/>
                <w:sz w:val="20"/>
                <w:szCs w:val="20"/>
              </w:rPr>
              <w:t>1,</w:t>
            </w:r>
            <w:r w:rsidR="00262FDA" w:rsidRPr="00C1424D">
              <w:rPr>
                <w:rFonts w:ascii="Arial" w:hAnsi="Arial" w:cs="Arial"/>
                <w:sz w:val="20"/>
                <w:szCs w:val="20"/>
              </w:rPr>
              <w:t>22</w:t>
            </w:r>
          </w:p>
        </w:tc>
      </w:tr>
      <w:tr w:rsidR="00DA0B00" w:rsidRPr="00C1424D" w:rsidTr="001D312A">
        <w:trPr>
          <w:trHeight w:val="228"/>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C1424D" w:rsidRDefault="0036152E" w:rsidP="001E258F">
            <w:pPr>
              <w:jc w:val="left"/>
              <w:rPr>
                <w:rFonts w:ascii="Arial" w:hAnsi="Arial" w:cs="Arial"/>
                <w:sz w:val="20"/>
                <w:szCs w:val="20"/>
              </w:rPr>
            </w:pPr>
            <w:r w:rsidRPr="00C1424D">
              <w:rPr>
                <w:rFonts w:ascii="Arial" w:hAnsi="Arial" w:cs="Arial"/>
                <w:sz w:val="20"/>
                <w:szCs w:val="20"/>
              </w:rPr>
              <w:t xml:space="preserve"> </w:t>
            </w:r>
            <w:r w:rsidR="00DA0B00" w:rsidRPr="00C1424D">
              <w:rPr>
                <w:rFonts w:ascii="Arial" w:hAnsi="Arial" w:cs="Arial"/>
                <w:sz w:val="20"/>
                <w:szCs w:val="20"/>
              </w:rPr>
              <w:t>502</w:t>
            </w:r>
            <w:r w:rsidR="001E258F">
              <w:rPr>
                <w:rFonts w:ascii="Arial" w:hAnsi="Arial" w:cs="Arial"/>
                <w:sz w:val="20"/>
                <w:szCs w:val="20"/>
              </w:rPr>
              <w:t>1</w:t>
            </w:r>
          </w:p>
        </w:tc>
        <w:tc>
          <w:tcPr>
            <w:tcW w:w="4536" w:type="dxa"/>
            <w:tcBorders>
              <w:top w:val="nil"/>
              <w:left w:val="nil"/>
              <w:bottom w:val="single" w:sz="4" w:space="0" w:color="auto"/>
              <w:right w:val="single" w:sz="4" w:space="0" w:color="auto"/>
            </w:tcBorders>
            <w:shd w:val="clear" w:color="auto" w:fill="auto"/>
            <w:noWrap/>
            <w:vAlign w:val="bottom"/>
          </w:tcPr>
          <w:p w:rsidR="00DA0B00" w:rsidRPr="00C1424D" w:rsidRDefault="00FB3F5E" w:rsidP="00DE2CDC">
            <w:pPr>
              <w:rPr>
                <w:rFonts w:ascii="Arial" w:hAnsi="Arial" w:cs="Arial"/>
                <w:sz w:val="20"/>
                <w:szCs w:val="20"/>
              </w:rPr>
            </w:pPr>
            <w:r w:rsidRPr="00C1424D">
              <w:rPr>
                <w:rFonts w:ascii="Arial" w:hAnsi="Arial" w:cs="Arial"/>
                <w:sz w:val="20"/>
                <w:szCs w:val="20"/>
              </w:rPr>
              <w:t xml:space="preserve">Ostatní </w:t>
            </w:r>
            <w:r w:rsidRPr="00DE2CDC">
              <w:rPr>
                <w:rFonts w:ascii="Arial" w:hAnsi="Arial" w:cs="Arial"/>
                <w:sz w:val="20"/>
                <w:szCs w:val="20"/>
              </w:rPr>
              <w:t>osobní</w:t>
            </w:r>
            <w:r w:rsidR="00DE2CDC" w:rsidRPr="00DE2CDC">
              <w:rPr>
                <w:rFonts w:ascii="Arial" w:hAnsi="Arial" w:cs="Arial"/>
                <w:sz w:val="20"/>
                <w:szCs w:val="20"/>
              </w:rPr>
              <w:t xml:space="preserve"> výdaje</w:t>
            </w:r>
          </w:p>
        </w:tc>
        <w:tc>
          <w:tcPr>
            <w:tcW w:w="1086"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jc w:val="right"/>
              <w:rPr>
                <w:rFonts w:ascii="Arial" w:hAnsi="Arial" w:cs="Arial"/>
                <w:sz w:val="20"/>
                <w:szCs w:val="20"/>
              </w:rPr>
            </w:pPr>
            <w:r w:rsidRPr="00C1424D">
              <w:rPr>
                <w:rFonts w:ascii="Arial" w:hAnsi="Arial" w:cs="Arial"/>
                <w:sz w:val="20"/>
                <w:szCs w:val="20"/>
              </w:rPr>
              <w:t>1 650</w:t>
            </w:r>
          </w:p>
        </w:tc>
        <w:tc>
          <w:tcPr>
            <w:tcW w:w="1087"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jc w:val="right"/>
              <w:rPr>
                <w:rFonts w:ascii="Arial" w:hAnsi="Arial" w:cs="Arial"/>
                <w:sz w:val="20"/>
                <w:szCs w:val="20"/>
              </w:rPr>
            </w:pPr>
            <w:r w:rsidRPr="00C1424D">
              <w:rPr>
                <w:rFonts w:ascii="Arial" w:hAnsi="Arial" w:cs="Arial"/>
                <w:sz w:val="20"/>
                <w:szCs w:val="20"/>
              </w:rPr>
              <w:t>1 732</w:t>
            </w:r>
          </w:p>
        </w:tc>
        <w:tc>
          <w:tcPr>
            <w:tcW w:w="1087"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jc w:val="right"/>
              <w:rPr>
                <w:rFonts w:ascii="Arial" w:hAnsi="Arial" w:cs="Arial"/>
                <w:sz w:val="20"/>
                <w:szCs w:val="20"/>
              </w:rPr>
            </w:pPr>
            <w:r w:rsidRPr="00C1424D">
              <w:rPr>
                <w:rFonts w:ascii="Arial" w:hAnsi="Arial" w:cs="Arial"/>
                <w:sz w:val="20"/>
                <w:szCs w:val="20"/>
              </w:rPr>
              <w:t>1,05</w:t>
            </w:r>
          </w:p>
        </w:tc>
      </w:tr>
      <w:tr w:rsidR="00DA0B00" w:rsidRPr="00C1424D" w:rsidTr="001D312A">
        <w:trPr>
          <w:trHeight w:val="228"/>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C1424D" w:rsidRDefault="0036152E" w:rsidP="0036152E">
            <w:pPr>
              <w:jc w:val="left"/>
              <w:rPr>
                <w:rFonts w:ascii="Arial" w:hAnsi="Arial" w:cs="Arial"/>
                <w:sz w:val="20"/>
                <w:szCs w:val="20"/>
              </w:rPr>
            </w:pPr>
            <w:r w:rsidRPr="00C1424D">
              <w:rPr>
                <w:rFonts w:ascii="Arial" w:hAnsi="Arial" w:cs="Arial"/>
                <w:sz w:val="20"/>
                <w:szCs w:val="20"/>
              </w:rPr>
              <w:t xml:space="preserve"> </w:t>
            </w:r>
            <w:r w:rsidR="00DA0B00" w:rsidRPr="00C1424D">
              <w:rPr>
                <w:rFonts w:ascii="Arial" w:hAnsi="Arial" w:cs="Arial"/>
                <w:sz w:val="20"/>
                <w:szCs w:val="20"/>
              </w:rPr>
              <w:t>532</w:t>
            </w:r>
          </w:p>
        </w:tc>
        <w:tc>
          <w:tcPr>
            <w:tcW w:w="4536"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rPr>
                <w:rFonts w:ascii="Arial" w:hAnsi="Arial" w:cs="Arial"/>
                <w:sz w:val="20"/>
                <w:szCs w:val="20"/>
              </w:rPr>
            </w:pPr>
            <w:r w:rsidRPr="00C1424D">
              <w:rPr>
                <w:rFonts w:ascii="Arial" w:hAnsi="Arial" w:cs="Arial"/>
                <w:sz w:val="20"/>
                <w:szCs w:val="20"/>
              </w:rPr>
              <w:t xml:space="preserve">Neinv. transfery rozp. územní úrovně </w:t>
            </w:r>
          </w:p>
        </w:tc>
        <w:tc>
          <w:tcPr>
            <w:tcW w:w="1086"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jc w:val="right"/>
              <w:rPr>
                <w:rFonts w:ascii="Arial" w:hAnsi="Arial" w:cs="Arial"/>
                <w:sz w:val="20"/>
                <w:szCs w:val="20"/>
              </w:rPr>
            </w:pPr>
            <w:r w:rsidRPr="00C1424D">
              <w:rPr>
                <w:rFonts w:ascii="Arial" w:hAnsi="Arial" w:cs="Arial"/>
                <w:sz w:val="20"/>
                <w:szCs w:val="20"/>
              </w:rPr>
              <w:t>84 000</w:t>
            </w:r>
          </w:p>
        </w:tc>
        <w:tc>
          <w:tcPr>
            <w:tcW w:w="1087"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jc w:val="right"/>
              <w:rPr>
                <w:rFonts w:ascii="Arial" w:hAnsi="Arial" w:cs="Arial"/>
                <w:sz w:val="20"/>
                <w:szCs w:val="20"/>
              </w:rPr>
            </w:pPr>
            <w:r w:rsidRPr="00C1424D">
              <w:rPr>
                <w:rFonts w:ascii="Arial" w:hAnsi="Arial" w:cs="Arial"/>
                <w:sz w:val="20"/>
                <w:szCs w:val="20"/>
              </w:rPr>
              <w:t>84 000</w:t>
            </w:r>
          </w:p>
        </w:tc>
        <w:tc>
          <w:tcPr>
            <w:tcW w:w="1087"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jc w:val="right"/>
              <w:rPr>
                <w:rFonts w:ascii="Arial" w:hAnsi="Arial" w:cs="Arial"/>
                <w:sz w:val="20"/>
                <w:szCs w:val="20"/>
              </w:rPr>
            </w:pPr>
            <w:r w:rsidRPr="00C1424D">
              <w:rPr>
                <w:rFonts w:ascii="Arial" w:hAnsi="Arial" w:cs="Arial"/>
                <w:sz w:val="20"/>
                <w:szCs w:val="20"/>
              </w:rPr>
              <w:t>1,00</w:t>
            </w:r>
          </w:p>
        </w:tc>
      </w:tr>
      <w:tr w:rsidR="00DA0B00" w:rsidRPr="00334748" w:rsidTr="001D312A">
        <w:trPr>
          <w:trHeight w:val="228"/>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C1424D" w:rsidRDefault="0036152E" w:rsidP="0036152E">
            <w:pPr>
              <w:jc w:val="left"/>
              <w:rPr>
                <w:rFonts w:ascii="Arial" w:hAnsi="Arial" w:cs="Arial"/>
                <w:sz w:val="20"/>
                <w:szCs w:val="20"/>
              </w:rPr>
            </w:pPr>
            <w:r w:rsidRPr="00C1424D">
              <w:rPr>
                <w:rFonts w:ascii="Arial" w:hAnsi="Arial" w:cs="Arial"/>
                <w:sz w:val="20"/>
                <w:szCs w:val="20"/>
              </w:rPr>
              <w:t xml:space="preserve"> </w:t>
            </w:r>
            <w:r w:rsidR="00DA0B00" w:rsidRPr="00C1424D">
              <w:rPr>
                <w:rFonts w:ascii="Arial" w:hAnsi="Arial" w:cs="Arial"/>
                <w:sz w:val="20"/>
                <w:szCs w:val="20"/>
              </w:rPr>
              <w:t>5342</w:t>
            </w:r>
          </w:p>
        </w:tc>
        <w:tc>
          <w:tcPr>
            <w:tcW w:w="4536"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rPr>
                <w:rFonts w:ascii="Arial" w:hAnsi="Arial" w:cs="Arial"/>
                <w:sz w:val="20"/>
                <w:szCs w:val="20"/>
              </w:rPr>
            </w:pPr>
            <w:r w:rsidRPr="00C1424D">
              <w:rPr>
                <w:rFonts w:ascii="Arial" w:hAnsi="Arial" w:cs="Arial"/>
                <w:sz w:val="20"/>
                <w:szCs w:val="20"/>
              </w:rPr>
              <w:t>Převody FKSP</w:t>
            </w:r>
          </w:p>
        </w:tc>
        <w:tc>
          <w:tcPr>
            <w:tcW w:w="1086" w:type="dxa"/>
            <w:tcBorders>
              <w:top w:val="nil"/>
              <w:left w:val="nil"/>
              <w:bottom w:val="single" w:sz="4" w:space="0" w:color="auto"/>
              <w:right w:val="single" w:sz="4" w:space="0" w:color="auto"/>
            </w:tcBorders>
            <w:shd w:val="clear" w:color="auto" w:fill="auto"/>
            <w:noWrap/>
            <w:vAlign w:val="bottom"/>
          </w:tcPr>
          <w:p w:rsidR="00DA0B00" w:rsidRPr="00C1424D" w:rsidRDefault="00DA0B00" w:rsidP="001D312A">
            <w:pPr>
              <w:jc w:val="right"/>
              <w:rPr>
                <w:rFonts w:ascii="Arial" w:hAnsi="Arial" w:cs="Arial"/>
                <w:sz w:val="20"/>
                <w:szCs w:val="20"/>
              </w:rPr>
            </w:pPr>
            <w:r w:rsidRPr="00C1424D">
              <w:rPr>
                <w:rFonts w:ascii="Arial" w:hAnsi="Arial" w:cs="Arial"/>
                <w:sz w:val="20"/>
                <w:szCs w:val="20"/>
              </w:rPr>
              <w:t>273</w:t>
            </w:r>
          </w:p>
        </w:tc>
        <w:tc>
          <w:tcPr>
            <w:tcW w:w="1087" w:type="dxa"/>
            <w:tcBorders>
              <w:top w:val="nil"/>
              <w:left w:val="nil"/>
              <w:bottom w:val="single" w:sz="4" w:space="0" w:color="auto"/>
              <w:right w:val="single" w:sz="4" w:space="0" w:color="auto"/>
            </w:tcBorders>
            <w:shd w:val="clear" w:color="auto" w:fill="auto"/>
            <w:noWrap/>
            <w:vAlign w:val="bottom"/>
          </w:tcPr>
          <w:p w:rsidR="00DA0B00" w:rsidRPr="00C1424D" w:rsidRDefault="00262FDA" w:rsidP="001D312A">
            <w:pPr>
              <w:jc w:val="right"/>
              <w:rPr>
                <w:rFonts w:ascii="Arial" w:hAnsi="Arial" w:cs="Arial"/>
                <w:sz w:val="20"/>
                <w:szCs w:val="20"/>
              </w:rPr>
            </w:pPr>
            <w:r w:rsidRPr="00C1424D">
              <w:rPr>
                <w:rFonts w:ascii="Arial" w:hAnsi="Arial" w:cs="Arial"/>
                <w:sz w:val="20"/>
                <w:szCs w:val="20"/>
              </w:rPr>
              <w:t>665</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262FDA" w:rsidP="001D312A">
            <w:pPr>
              <w:jc w:val="right"/>
              <w:rPr>
                <w:rFonts w:ascii="Arial" w:hAnsi="Arial" w:cs="Arial"/>
                <w:sz w:val="20"/>
                <w:szCs w:val="20"/>
              </w:rPr>
            </w:pPr>
            <w:r w:rsidRPr="00C1424D">
              <w:rPr>
                <w:rFonts w:ascii="Arial" w:hAnsi="Arial" w:cs="Arial"/>
                <w:sz w:val="20"/>
                <w:szCs w:val="20"/>
              </w:rPr>
              <w:t>2,44</w:t>
            </w:r>
          </w:p>
        </w:tc>
      </w:tr>
      <w:tr w:rsidR="00DA0B00" w:rsidRPr="00334748" w:rsidTr="001D312A">
        <w:trPr>
          <w:trHeight w:val="228"/>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334748" w:rsidRDefault="00DA0B00" w:rsidP="0036152E">
            <w:pPr>
              <w:jc w:val="left"/>
              <w:rPr>
                <w:rFonts w:ascii="Arial" w:hAnsi="Arial" w:cs="Arial"/>
                <w:sz w:val="20"/>
                <w:szCs w:val="20"/>
              </w:rPr>
            </w:pPr>
            <w:r w:rsidRPr="00334748">
              <w:rPr>
                <w:rFonts w:ascii="Arial" w:hAnsi="Arial" w:cs="Arial"/>
                <w:sz w:val="20"/>
                <w:szCs w:val="20"/>
              </w:rPr>
              <w:t>6</w:t>
            </w:r>
          </w:p>
        </w:tc>
        <w:tc>
          <w:tcPr>
            <w:tcW w:w="4536" w:type="dxa"/>
            <w:tcBorders>
              <w:top w:val="nil"/>
              <w:left w:val="nil"/>
              <w:bottom w:val="single" w:sz="4" w:space="0" w:color="auto"/>
              <w:right w:val="single" w:sz="4" w:space="0" w:color="auto"/>
            </w:tcBorders>
            <w:shd w:val="clear" w:color="auto" w:fill="auto"/>
            <w:noWrap/>
            <w:vAlign w:val="bottom"/>
          </w:tcPr>
          <w:p w:rsidR="00DA0B00" w:rsidRPr="00334748" w:rsidRDefault="00DA0B00" w:rsidP="001D312A">
            <w:pPr>
              <w:rPr>
                <w:rFonts w:ascii="Arial" w:hAnsi="Arial" w:cs="Arial"/>
                <w:sz w:val="20"/>
                <w:szCs w:val="20"/>
              </w:rPr>
            </w:pPr>
            <w:r w:rsidRPr="00334748">
              <w:rPr>
                <w:rFonts w:ascii="Arial" w:hAnsi="Arial" w:cs="Arial"/>
                <w:sz w:val="20"/>
                <w:szCs w:val="20"/>
              </w:rPr>
              <w:t xml:space="preserve">Kapitálové výdaje </w:t>
            </w:r>
          </w:p>
        </w:tc>
        <w:tc>
          <w:tcPr>
            <w:tcW w:w="1086" w:type="dxa"/>
            <w:tcBorders>
              <w:top w:val="nil"/>
              <w:left w:val="nil"/>
              <w:bottom w:val="single" w:sz="4" w:space="0" w:color="auto"/>
              <w:right w:val="single" w:sz="4" w:space="0" w:color="auto"/>
            </w:tcBorders>
            <w:shd w:val="clear" w:color="auto" w:fill="auto"/>
            <w:noWrap/>
            <w:vAlign w:val="bottom"/>
          </w:tcPr>
          <w:p w:rsidR="00DA0B00" w:rsidRPr="00E66F0A" w:rsidRDefault="00DA0B00" w:rsidP="001D312A">
            <w:pPr>
              <w:jc w:val="right"/>
              <w:rPr>
                <w:rFonts w:ascii="Arial" w:hAnsi="Arial" w:cs="Arial"/>
                <w:sz w:val="20"/>
                <w:szCs w:val="20"/>
              </w:rPr>
            </w:pPr>
            <w:r w:rsidRPr="00E66F0A">
              <w:rPr>
                <w:rFonts w:ascii="Arial" w:hAnsi="Arial" w:cs="Arial"/>
                <w:sz w:val="20"/>
                <w:szCs w:val="20"/>
              </w:rPr>
              <w:t>207 300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763A2F">
            <w:pPr>
              <w:jc w:val="right"/>
              <w:rPr>
                <w:rFonts w:ascii="Arial" w:hAnsi="Arial" w:cs="Arial"/>
                <w:sz w:val="20"/>
                <w:szCs w:val="20"/>
              </w:rPr>
            </w:pPr>
            <w:r w:rsidRPr="00E66F0A">
              <w:rPr>
                <w:rFonts w:ascii="Arial" w:hAnsi="Arial" w:cs="Arial"/>
                <w:sz w:val="20"/>
                <w:szCs w:val="20"/>
              </w:rPr>
              <w:t>2</w:t>
            </w:r>
            <w:r w:rsidR="00763A2F">
              <w:rPr>
                <w:rFonts w:ascii="Arial" w:hAnsi="Arial" w:cs="Arial"/>
                <w:sz w:val="20"/>
                <w:szCs w:val="20"/>
              </w:rPr>
              <w:t>4</w:t>
            </w:r>
            <w:r w:rsidRPr="00E66F0A">
              <w:rPr>
                <w:rFonts w:ascii="Arial" w:hAnsi="Arial" w:cs="Arial"/>
                <w:sz w:val="20"/>
                <w:szCs w:val="20"/>
              </w:rPr>
              <w:t>9 590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763A2F">
            <w:pPr>
              <w:jc w:val="right"/>
              <w:rPr>
                <w:rFonts w:ascii="Arial" w:hAnsi="Arial" w:cs="Arial"/>
                <w:sz w:val="20"/>
                <w:szCs w:val="20"/>
              </w:rPr>
            </w:pPr>
            <w:r w:rsidRPr="00E66F0A">
              <w:rPr>
                <w:rFonts w:ascii="Arial" w:hAnsi="Arial" w:cs="Arial"/>
                <w:sz w:val="20"/>
                <w:szCs w:val="20"/>
              </w:rPr>
              <w:t>1,</w:t>
            </w:r>
            <w:r w:rsidR="00763A2F">
              <w:rPr>
                <w:rFonts w:ascii="Arial" w:hAnsi="Arial" w:cs="Arial"/>
                <w:sz w:val="20"/>
                <w:szCs w:val="20"/>
              </w:rPr>
              <w:t>2</w:t>
            </w:r>
            <w:r w:rsidRPr="00E66F0A">
              <w:rPr>
                <w:rFonts w:ascii="Arial" w:hAnsi="Arial" w:cs="Arial"/>
                <w:sz w:val="20"/>
                <w:szCs w:val="20"/>
              </w:rPr>
              <w:t>0</w:t>
            </w:r>
          </w:p>
        </w:tc>
      </w:tr>
      <w:tr w:rsidR="00DA0B00" w:rsidRPr="00334748" w:rsidTr="001D312A">
        <w:trPr>
          <w:trHeight w:val="228"/>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334748" w:rsidRDefault="0036152E" w:rsidP="0036152E">
            <w:pPr>
              <w:jc w:val="left"/>
              <w:rPr>
                <w:rFonts w:ascii="Arial" w:hAnsi="Arial" w:cs="Arial"/>
                <w:sz w:val="20"/>
                <w:szCs w:val="20"/>
              </w:rPr>
            </w:pPr>
            <w:r>
              <w:rPr>
                <w:rFonts w:ascii="Arial" w:hAnsi="Arial" w:cs="Arial"/>
                <w:sz w:val="20"/>
                <w:szCs w:val="20"/>
              </w:rPr>
              <w:t xml:space="preserve"> </w:t>
            </w:r>
            <w:r w:rsidR="00DA0B00" w:rsidRPr="00334748">
              <w:rPr>
                <w:rFonts w:ascii="Arial" w:hAnsi="Arial" w:cs="Arial"/>
                <w:sz w:val="20"/>
                <w:szCs w:val="20"/>
              </w:rPr>
              <w:t>61</w:t>
            </w:r>
          </w:p>
        </w:tc>
        <w:tc>
          <w:tcPr>
            <w:tcW w:w="4536" w:type="dxa"/>
            <w:tcBorders>
              <w:top w:val="nil"/>
              <w:left w:val="nil"/>
              <w:bottom w:val="single" w:sz="4" w:space="0" w:color="auto"/>
              <w:right w:val="single" w:sz="4" w:space="0" w:color="auto"/>
            </w:tcBorders>
            <w:shd w:val="clear" w:color="auto" w:fill="auto"/>
            <w:noWrap/>
            <w:vAlign w:val="bottom"/>
          </w:tcPr>
          <w:p w:rsidR="00DA0B00" w:rsidRPr="00334748" w:rsidRDefault="00DA0B00" w:rsidP="001D312A">
            <w:pPr>
              <w:rPr>
                <w:rFonts w:ascii="Arial" w:hAnsi="Arial" w:cs="Arial"/>
                <w:sz w:val="20"/>
                <w:szCs w:val="20"/>
              </w:rPr>
            </w:pPr>
            <w:r w:rsidRPr="00334748">
              <w:rPr>
                <w:rFonts w:ascii="Arial" w:hAnsi="Arial" w:cs="Arial"/>
                <w:sz w:val="20"/>
                <w:szCs w:val="20"/>
              </w:rPr>
              <w:t>Investiční nákupy a související výdaje</w:t>
            </w:r>
          </w:p>
        </w:tc>
        <w:tc>
          <w:tcPr>
            <w:tcW w:w="1086" w:type="dxa"/>
            <w:tcBorders>
              <w:top w:val="nil"/>
              <w:left w:val="nil"/>
              <w:bottom w:val="single" w:sz="4" w:space="0" w:color="auto"/>
              <w:right w:val="single" w:sz="4" w:space="0" w:color="auto"/>
            </w:tcBorders>
            <w:shd w:val="clear" w:color="auto" w:fill="auto"/>
            <w:noWrap/>
            <w:vAlign w:val="bottom"/>
          </w:tcPr>
          <w:p w:rsidR="00DA0B00" w:rsidRPr="00E66F0A" w:rsidRDefault="00DA0B00" w:rsidP="001D312A">
            <w:pPr>
              <w:jc w:val="right"/>
              <w:rPr>
                <w:rFonts w:ascii="Arial" w:hAnsi="Arial" w:cs="Arial"/>
                <w:sz w:val="20"/>
                <w:szCs w:val="20"/>
              </w:rPr>
            </w:pPr>
            <w:r w:rsidRPr="00E66F0A">
              <w:rPr>
                <w:rFonts w:ascii="Arial" w:hAnsi="Arial" w:cs="Arial"/>
                <w:sz w:val="20"/>
                <w:szCs w:val="20"/>
              </w:rPr>
              <w:t>207 300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763A2F">
            <w:pPr>
              <w:jc w:val="right"/>
              <w:rPr>
                <w:rFonts w:ascii="Arial" w:hAnsi="Arial" w:cs="Arial"/>
                <w:sz w:val="20"/>
                <w:szCs w:val="20"/>
              </w:rPr>
            </w:pPr>
            <w:r w:rsidRPr="00E66F0A">
              <w:rPr>
                <w:rFonts w:ascii="Arial" w:hAnsi="Arial" w:cs="Arial"/>
                <w:sz w:val="20"/>
                <w:szCs w:val="20"/>
              </w:rPr>
              <w:t>2</w:t>
            </w:r>
            <w:r w:rsidR="00763A2F">
              <w:rPr>
                <w:rFonts w:ascii="Arial" w:hAnsi="Arial" w:cs="Arial"/>
                <w:sz w:val="20"/>
                <w:szCs w:val="20"/>
              </w:rPr>
              <w:t>4</w:t>
            </w:r>
            <w:r w:rsidRPr="00E66F0A">
              <w:rPr>
                <w:rFonts w:ascii="Arial" w:hAnsi="Arial" w:cs="Arial"/>
                <w:sz w:val="20"/>
                <w:szCs w:val="20"/>
              </w:rPr>
              <w:t>9 590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763A2F">
            <w:pPr>
              <w:jc w:val="right"/>
              <w:rPr>
                <w:rFonts w:ascii="Arial" w:hAnsi="Arial" w:cs="Arial"/>
                <w:sz w:val="20"/>
                <w:szCs w:val="20"/>
              </w:rPr>
            </w:pPr>
            <w:r w:rsidRPr="00E66F0A">
              <w:rPr>
                <w:rFonts w:ascii="Arial" w:hAnsi="Arial" w:cs="Arial"/>
                <w:sz w:val="20"/>
                <w:szCs w:val="20"/>
              </w:rPr>
              <w:t>1,</w:t>
            </w:r>
            <w:r w:rsidR="00763A2F">
              <w:rPr>
                <w:rFonts w:ascii="Arial" w:hAnsi="Arial" w:cs="Arial"/>
                <w:sz w:val="20"/>
                <w:szCs w:val="20"/>
              </w:rPr>
              <w:t>2</w:t>
            </w:r>
            <w:r w:rsidRPr="00E66F0A">
              <w:rPr>
                <w:rFonts w:ascii="Arial" w:hAnsi="Arial" w:cs="Arial"/>
                <w:sz w:val="20"/>
                <w:szCs w:val="20"/>
              </w:rPr>
              <w:t>0</w:t>
            </w:r>
          </w:p>
        </w:tc>
      </w:tr>
      <w:tr w:rsidR="00DA0B00" w:rsidRPr="00334748" w:rsidTr="001D312A">
        <w:trPr>
          <w:trHeight w:val="228"/>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sz w:val="20"/>
                <w:szCs w:val="20"/>
              </w:rPr>
            </w:pPr>
            <w:r w:rsidRPr="00334748">
              <w:rPr>
                <w:rFonts w:ascii="Arial" w:hAnsi="Arial" w:cs="Arial"/>
                <w:sz w:val="20"/>
                <w:szCs w:val="20"/>
              </w:rPr>
              <w:t xml:space="preserve"> </w:t>
            </w:r>
          </w:p>
        </w:tc>
        <w:tc>
          <w:tcPr>
            <w:tcW w:w="4536" w:type="dxa"/>
            <w:tcBorders>
              <w:top w:val="nil"/>
              <w:left w:val="nil"/>
              <w:bottom w:val="single" w:sz="4" w:space="0" w:color="auto"/>
              <w:right w:val="single" w:sz="4" w:space="0" w:color="auto"/>
            </w:tcBorders>
            <w:shd w:val="clear" w:color="auto" w:fill="auto"/>
            <w:noWrap/>
            <w:vAlign w:val="bottom"/>
          </w:tcPr>
          <w:p w:rsidR="00DA0B00" w:rsidRPr="00334748" w:rsidRDefault="00DA0B00" w:rsidP="00F113C0">
            <w:pPr>
              <w:rPr>
                <w:rFonts w:ascii="Arial" w:hAnsi="Arial" w:cs="Arial"/>
                <w:sz w:val="20"/>
                <w:szCs w:val="20"/>
              </w:rPr>
            </w:pPr>
            <w:r w:rsidRPr="00334748">
              <w:rPr>
                <w:rFonts w:ascii="Arial" w:hAnsi="Arial" w:cs="Arial"/>
                <w:sz w:val="20"/>
                <w:szCs w:val="20"/>
              </w:rPr>
              <w:t>V ý d a j e  c e l k e m :</w:t>
            </w:r>
          </w:p>
        </w:tc>
        <w:tc>
          <w:tcPr>
            <w:tcW w:w="1086" w:type="dxa"/>
            <w:tcBorders>
              <w:top w:val="nil"/>
              <w:left w:val="nil"/>
              <w:bottom w:val="single" w:sz="4" w:space="0" w:color="auto"/>
              <w:right w:val="single" w:sz="4" w:space="0" w:color="auto"/>
            </w:tcBorders>
            <w:shd w:val="clear" w:color="auto" w:fill="auto"/>
            <w:noWrap/>
            <w:vAlign w:val="bottom"/>
          </w:tcPr>
          <w:p w:rsidR="00DA0B00" w:rsidRPr="00E66F0A" w:rsidRDefault="00DA0B00" w:rsidP="001D312A">
            <w:pPr>
              <w:jc w:val="right"/>
              <w:rPr>
                <w:rFonts w:ascii="Arial" w:hAnsi="Arial" w:cs="Arial"/>
                <w:sz w:val="20"/>
                <w:szCs w:val="20"/>
              </w:rPr>
            </w:pPr>
            <w:r w:rsidRPr="00E66F0A">
              <w:rPr>
                <w:rFonts w:ascii="Arial" w:hAnsi="Arial" w:cs="Arial"/>
                <w:sz w:val="20"/>
                <w:szCs w:val="20"/>
              </w:rPr>
              <w:t>399 900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6033EA">
            <w:pPr>
              <w:jc w:val="right"/>
              <w:rPr>
                <w:rFonts w:ascii="Arial" w:hAnsi="Arial" w:cs="Arial"/>
                <w:sz w:val="20"/>
                <w:szCs w:val="20"/>
              </w:rPr>
            </w:pPr>
            <w:r w:rsidRPr="00E66F0A">
              <w:rPr>
                <w:rFonts w:ascii="Arial" w:hAnsi="Arial" w:cs="Arial"/>
                <w:sz w:val="20"/>
                <w:szCs w:val="20"/>
              </w:rPr>
              <w:t>52</w:t>
            </w:r>
            <w:r w:rsidR="006033EA">
              <w:rPr>
                <w:rFonts w:ascii="Arial" w:hAnsi="Arial" w:cs="Arial"/>
                <w:sz w:val="20"/>
                <w:szCs w:val="20"/>
              </w:rPr>
              <w:t>7</w:t>
            </w:r>
            <w:r w:rsidRPr="00E66F0A">
              <w:rPr>
                <w:rFonts w:ascii="Arial" w:hAnsi="Arial" w:cs="Arial"/>
                <w:sz w:val="20"/>
                <w:szCs w:val="20"/>
              </w:rPr>
              <w:t xml:space="preserve"> </w:t>
            </w:r>
            <w:r w:rsidR="006033EA">
              <w:rPr>
                <w:rFonts w:ascii="Arial" w:hAnsi="Arial" w:cs="Arial"/>
                <w:sz w:val="20"/>
                <w:szCs w:val="20"/>
              </w:rPr>
              <w:t>8</w:t>
            </w:r>
            <w:r w:rsidRPr="00E66F0A">
              <w:rPr>
                <w:rFonts w:ascii="Arial" w:hAnsi="Arial" w:cs="Arial"/>
                <w:sz w:val="20"/>
                <w:szCs w:val="20"/>
              </w:rPr>
              <w:t>00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1D312A">
            <w:pPr>
              <w:jc w:val="right"/>
              <w:rPr>
                <w:rFonts w:ascii="Arial" w:hAnsi="Arial" w:cs="Arial"/>
                <w:sz w:val="20"/>
                <w:szCs w:val="20"/>
              </w:rPr>
            </w:pPr>
            <w:r w:rsidRPr="00E66F0A">
              <w:rPr>
                <w:rFonts w:ascii="Arial" w:hAnsi="Arial" w:cs="Arial"/>
                <w:sz w:val="20"/>
                <w:szCs w:val="20"/>
              </w:rPr>
              <w:t>1,32</w:t>
            </w:r>
          </w:p>
        </w:tc>
      </w:tr>
    </w:tbl>
    <w:p w:rsidR="00DA0B00" w:rsidRPr="00D368C7" w:rsidRDefault="00DA0B00" w:rsidP="00DA0B00">
      <w:pPr>
        <w:tabs>
          <w:tab w:val="left" w:pos="1346"/>
          <w:tab w:val="left" w:pos="5882"/>
          <w:tab w:val="left" w:pos="6968"/>
          <w:tab w:val="left" w:pos="8055"/>
        </w:tabs>
        <w:ind w:left="58"/>
        <w:jc w:val="left"/>
        <w:rPr>
          <w:rFonts w:ascii="Arial" w:hAnsi="Arial" w:cs="Arial"/>
          <w:sz w:val="20"/>
          <w:szCs w:val="20"/>
        </w:rPr>
      </w:pPr>
    </w:p>
    <w:tbl>
      <w:tblPr>
        <w:tblW w:w="9084" w:type="dxa"/>
        <w:tblInd w:w="58" w:type="dxa"/>
        <w:tblLayout w:type="fixed"/>
        <w:tblCellMar>
          <w:left w:w="70" w:type="dxa"/>
          <w:right w:w="70" w:type="dxa"/>
        </w:tblCellMar>
        <w:tblLook w:val="0000" w:firstRow="0" w:lastRow="0" w:firstColumn="0" w:lastColumn="0" w:noHBand="0" w:noVBand="0"/>
      </w:tblPr>
      <w:tblGrid>
        <w:gridCol w:w="1288"/>
        <w:gridCol w:w="4536"/>
        <w:gridCol w:w="1086"/>
        <w:gridCol w:w="1087"/>
        <w:gridCol w:w="1087"/>
      </w:tblGrid>
      <w:tr w:rsidR="00DA0B00" w:rsidRPr="00334748" w:rsidTr="001D312A">
        <w:trPr>
          <w:trHeight w:val="228"/>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sz w:val="20"/>
                <w:szCs w:val="20"/>
              </w:rPr>
            </w:pPr>
            <w:r w:rsidRPr="00334748">
              <w:rPr>
                <w:rFonts w:ascii="Arial" w:hAnsi="Arial" w:cs="Arial"/>
                <w:sz w:val="20"/>
                <w:szCs w:val="20"/>
              </w:rPr>
              <w:t xml:space="preserve"> </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DA0B00" w:rsidRPr="00334748" w:rsidRDefault="00F113C0" w:rsidP="001D312A">
            <w:pPr>
              <w:rPr>
                <w:rFonts w:ascii="Arial" w:hAnsi="Arial" w:cs="Arial"/>
                <w:sz w:val="20"/>
                <w:szCs w:val="20"/>
              </w:rPr>
            </w:pPr>
            <w:r>
              <w:rPr>
                <w:rFonts w:ascii="Arial" w:hAnsi="Arial" w:cs="Arial"/>
                <w:sz w:val="20"/>
                <w:szCs w:val="20"/>
              </w:rPr>
              <w:t>FINANCOVÁNÍ</w:t>
            </w:r>
            <w:r w:rsidR="0019466E">
              <w:rPr>
                <w:rStyle w:val="Znakapoznpodarou"/>
                <w:rFonts w:ascii="Arial" w:hAnsi="Arial" w:cs="Arial"/>
                <w:sz w:val="20"/>
                <w:szCs w:val="20"/>
              </w:rPr>
              <w:footnoteReference w:id="3"/>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DA0B00" w:rsidRPr="00B95CA4" w:rsidRDefault="00DA0B00" w:rsidP="001D312A">
            <w:pPr>
              <w:jc w:val="right"/>
              <w:rPr>
                <w:rFonts w:ascii="Arial" w:hAnsi="Arial" w:cs="Arial"/>
                <w:sz w:val="20"/>
                <w:szCs w:val="20"/>
              </w:rPr>
            </w:pPr>
            <w:r w:rsidRPr="00B95CA4">
              <w:rPr>
                <w:rFonts w:ascii="Arial" w:hAnsi="Arial" w:cs="Arial"/>
                <w:sz w:val="20"/>
                <w:szCs w:val="20"/>
              </w:rPr>
              <w:t xml:space="preserve"> </w:t>
            </w:r>
          </w:p>
        </w:tc>
        <w:tc>
          <w:tcPr>
            <w:tcW w:w="1087" w:type="dxa"/>
            <w:tcBorders>
              <w:top w:val="single" w:sz="4" w:space="0" w:color="auto"/>
              <w:left w:val="nil"/>
              <w:bottom w:val="single" w:sz="4" w:space="0" w:color="auto"/>
              <w:right w:val="single" w:sz="4" w:space="0" w:color="auto"/>
            </w:tcBorders>
            <w:shd w:val="clear" w:color="auto" w:fill="auto"/>
            <w:noWrap/>
            <w:vAlign w:val="bottom"/>
          </w:tcPr>
          <w:p w:rsidR="00DA0B00" w:rsidRPr="00D368C7" w:rsidRDefault="00DA0B00" w:rsidP="001D312A">
            <w:pPr>
              <w:jc w:val="right"/>
              <w:rPr>
                <w:rFonts w:ascii="Arial" w:hAnsi="Arial" w:cs="Arial"/>
                <w:sz w:val="20"/>
                <w:szCs w:val="20"/>
              </w:rPr>
            </w:pPr>
            <w:r w:rsidRPr="00D368C7">
              <w:rPr>
                <w:rFonts w:ascii="Arial" w:hAnsi="Arial" w:cs="Arial"/>
                <w:sz w:val="20"/>
                <w:szCs w:val="20"/>
              </w:rPr>
              <w:t xml:space="preserve"> </w:t>
            </w:r>
          </w:p>
        </w:tc>
        <w:tc>
          <w:tcPr>
            <w:tcW w:w="1087" w:type="dxa"/>
            <w:tcBorders>
              <w:top w:val="single" w:sz="4" w:space="0" w:color="auto"/>
              <w:left w:val="nil"/>
              <w:bottom w:val="single" w:sz="4" w:space="0" w:color="auto"/>
              <w:right w:val="single" w:sz="4" w:space="0" w:color="auto"/>
            </w:tcBorders>
            <w:shd w:val="clear" w:color="auto" w:fill="auto"/>
            <w:noWrap/>
            <w:vAlign w:val="bottom"/>
          </w:tcPr>
          <w:p w:rsidR="00DA0B00" w:rsidRPr="00D368C7" w:rsidRDefault="00DA0B00" w:rsidP="001D312A">
            <w:pPr>
              <w:jc w:val="right"/>
              <w:rPr>
                <w:rFonts w:ascii="Arial" w:hAnsi="Arial" w:cs="Arial"/>
                <w:sz w:val="20"/>
                <w:szCs w:val="20"/>
              </w:rPr>
            </w:pPr>
            <w:r w:rsidRPr="00D368C7">
              <w:rPr>
                <w:rFonts w:ascii="Arial" w:hAnsi="Arial" w:cs="Arial"/>
                <w:sz w:val="20"/>
                <w:szCs w:val="20"/>
              </w:rPr>
              <w:t> </w:t>
            </w:r>
          </w:p>
        </w:tc>
      </w:tr>
      <w:tr w:rsidR="00DA0B00" w:rsidRPr="00334748" w:rsidTr="001D312A">
        <w:trPr>
          <w:trHeight w:val="264"/>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334748" w:rsidRDefault="00F113C0" w:rsidP="00F113C0">
            <w:pPr>
              <w:jc w:val="center"/>
              <w:rPr>
                <w:rFonts w:ascii="Arial" w:hAnsi="Arial" w:cs="Arial"/>
                <w:sz w:val="20"/>
                <w:szCs w:val="20"/>
              </w:rPr>
            </w:pPr>
            <w:r>
              <w:rPr>
                <w:rFonts w:ascii="Arial" w:hAnsi="Arial" w:cs="Arial"/>
                <w:sz w:val="20"/>
                <w:szCs w:val="20"/>
              </w:rPr>
              <w:t xml:space="preserve"> </w:t>
            </w:r>
          </w:p>
        </w:tc>
        <w:tc>
          <w:tcPr>
            <w:tcW w:w="4536" w:type="dxa"/>
            <w:tcBorders>
              <w:top w:val="nil"/>
              <w:left w:val="nil"/>
              <w:bottom w:val="single" w:sz="4" w:space="0" w:color="auto"/>
              <w:right w:val="single" w:sz="4" w:space="0" w:color="auto"/>
            </w:tcBorders>
            <w:shd w:val="clear" w:color="auto" w:fill="auto"/>
            <w:noWrap/>
            <w:vAlign w:val="bottom"/>
          </w:tcPr>
          <w:p w:rsidR="00DA0B00" w:rsidRPr="00334748" w:rsidRDefault="00F113C0" w:rsidP="00F113C0">
            <w:pPr>
              <w:rPr>
                <w:rFonts w:ascii="Arial" w:hAnsi="Arial" w:cs="Arial"/>
                <w:sz w:val="20"/>
                <w:szCs w:val="20"/>
              </w:rPr>
            </w:pPr>
            <w:r>
              <w:rPr>
                <w:rFonts w:ascii="Arial" w:hAnsi="Arial" w:cs="Arial"/>
                <w:sz w:val="20"/>
                <w:szCs w:val="20"/>
              </w:rPr>
              <w:t>Neinvestiční prostředky</w:t>
            </w:r>
            <w:r w:rsidR="00DA0B00" w:rsidRPr="00334748">
              <w:rPr>
                <w:rFonts w:ascii="Arial" w:hAnsi="Arial" w:cs="Arial"/>
                <w:sz w:val="20"/>
                <w:szCs w:val="20"/>
              </w:rPr>
              <w:t xml:space="preserve"> z jaderného účtu</w:t>
            </w:r>
            <w:r>
              <w:rPr>
                <w:rFonts w:ascii="Arial" w:hAnsi="Arial" w:cs="Arial"/>
                <w:sz w:val="20"/>
                <w:szCs w:val="20"/>
              </w:rPr>
              <w:t xml:space="preserve"> poskytnuté prostřednictvím kapitoly 322 MPO</w:t>
            </w:r>
          </w:p>
        </w:tc>
        <w:tc>
          <w:tcPr>
            <w:tcW w:w="1086" w:type="dxa"/>
            <w:tcBorders>
              <w:top w:val="nil"/>
              <w:left w:val="nil"/>
              <w:bottom w:val="single" w:sz="4" w:space="0" w:color="auto"/>
              <w:right w:val="single" w:sz="4" w:space="0" w:color="auto"/>
            </w:tcBorders>
            <w:shd w:val="clear" w:color="auto" w:fill="auto"/>
            <w:noWrap/>
            <w:vAlign w:val="bottom"/>
          </w:tcPr>
          <w:p w:rsidR="00DA0B00" w:rsidRPr="00E66F0A" w:rsidRDefault="00DA0B00" w:rsidP="001D312A">
            <w:pPr>
              <w:jc w:val="right"/>
              <w:rPr>
                <w:rFonts w:ascii="Arial" w:hAnsi="Arial" w:cs="Arial"/>
                <w:sz w:val="20"/>
                <w:szCs w:val="20"/>
              </w:rPr>
            </w:pPr>
            <w:r w:rsidRPr="00E66F0A">
              <w:rPr>
                <w:rFonts w:ascii="Arial" w:hAnsi="Arial" w:cs="Arial"/>
                <w:sz w:val="20"/>
                <w:szCs w:val="20"/>
              </w:rPr>
              <w:t>187 600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763A2F">
            <w:pPr>
              <w:jc w:val="right"/>
              <w:rPr>
                <w:rFonts w:ascii="Arial" w:hAnsi="Arial" w:cs="Arial"/>
                <w:sz w:val="20"/>
                <w:szCs w:val="20"/>
              </w:rPr>
            </w:pPr>
            <w:r w:rsidRPr="00E66F0A">
              <w:rPr>
                <w:rFonts w:ascii="Arial" w:hAnsi="Arial" w:cs="Arial"/>
                <w:sz w:val="20"/>
                <w:szCs w:val="20"/>
              </w:rPr>
              <w:t>2</w:t>
            </w:r>
            <w:r w:rsidR="00763A2F">
              <w:rPr>
                <w:rFonts w:ascii="Arial" w:hAnsi="Arial" w:cs="Arial"/>
                <w:sz w:val="20"/>
                <w:szCs w:val="20"/>
              </w:rPr>
              <w:t>7</w:t>
            </w:r>
            <w:r w:rsidRPr="00E66F0A">
              <w:rPr>
                <w:rFonts w:ascii="Arial" w:hAnsi="Arial" w:cs="Arial"/>
                <w:sz w:val="20"/>
                <w:szCs w:val="20"/>
              </w:rPr>
              <w:t>3 510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763A2F">
            <w:pPr>
              <w:jc w:val="right"/>
              <w:rPr>
                <w:rFonts w:ascii="Arial" w:hAnsi="Arial" w:cs="Arial"/>
                <w:sz w:val="20"/>
                <w:szCs w:val="20"/>
              </w:rPr>
            </w:pPr>
            <w:r w:rsidRPr="00E66F0A">
              <w:rPr>
                <w:rFonts w:ascii="Arial" w:hAnsi="Arial" w:cs="Arial"/>
                <w:sz w:val="20"/>
                <w:szCs w:val="20"/>
              </w:rPr>
              <w:t>1,</w:t>
            </w:r>
            <w:r w:rsidR="00763A2F">
              <w:rPr>
                <w:rFonts w:ascii="Arial" w:hAnsi="Arial" w:cs="Arial"/>
                <w:sz w:val="20"/>
                <w:szCs w:val="20"/>
              </w:rPr>
              <w:t>46</w:t>
            </w:r>
          </w:p>
        </w:tc>
      </w:tr>
      <w:tr w:rsidR="00DA0B00" w:rsidRPr="00334748" w:rsidTr="001D312A">
        <w:trPr>
          <w:trHeight w:val="264"/>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334748" w:rsidRDefault="00F113C0" w:rsidP="00F113C0">
            <w:pPr>
              <w:jc w:val="center"/>
              <w:rPr>
                <w:rFonts w:ascii="Arial" w:hAnsi="Arial" w:cs="Arial"/>
                <w:sz w:val="20"/>
                <w:szCs w:val="20"/>
              </w:rPr>
            </w:pPr>
            <w:r>
              <w:rPr>
                <w:rFonts w:ascii="Arial" w:hAnsi="Arial" w:cs="Arial"/>
                <w:sz w:val="20"/>
                <w:szCs w:val="20"/>
              </w:rPr>
              <w:t xml:space="preserve"> </w:t>
            </w:r>
          </w:p>
        </w:tc>
        <w:tc>
          <w:tcPr>
            <w:tcW w:w="4536" w:type="dxa"/>
            <w:tcBorders>
              <w:top w:val="nil"/>
              <w:left w:val="nil"/>
              <w:bottom w:val="single" w:sz="4" w:space="0" w:color="auto"/>
              <w:right w:val="single" w:sz="4" w:space="0" w:color="auto"/>
            </w:tcBorders>
            <w:shd w:val="clear" w:color="auto" w:fill="auto"/>
            <w:noWrap/>
            <w:vAlign w:val="bottom"/>
          </w:tcPr>
          <w:p w:rsidR="00DA0B00" w:rsidRPr="00334748" w:rsidRDefault="00F113C0" w:rsidP="00F113C0">
            <w:pPr>
              <w:rPr>
                <w:rFonts w:ascii="Arial" w:hAnsi="Arial" w:cs="Arial"/>
                <w:sz w:val="20"/>
                <w:szCs w:val="20"/>
              </w:rPr>
            </w:pPr>
            <w:r>
              <w:rPr>
                <w:rFonts w:ascii="Arial" w:hAnsi="Arial" w:cs="Arial"/>
                <w:sz w:val="20"/>
                <w:szCs w:val="20"/>
              </w:rPr>
              <w:t>Investiční prostředky</w:t>
            </w:r>
            <w:r w:rsidRPr="00334748">
              <w:rPr>
                <w:rFonts w:ascii="Arial" w:hAnsi="Arial" w:cs="Arial"/>
                <w:sz w:val="20"/>
                <w:szCs w:val="20"/>
              </w:rPr>
              <w:t xml:space="preserve"> z jaderného účtu</w:t>
            </w:r>
            <w:r>
              <w:rPr>
                <w:rFonts w:ascii="Arial" w:hAnsi="Arial" w:cs="Arial"/>
                <w:sz w:val="20"/>
                <w:szCs w:val="20"/>
              </w:rPr>
              <w:t xml:space="preserve"> poskytnuté prostřednictvím kapitoly 322 MPO</w:t>
            </w:r>
          </w:p>
        </w:tc>
        <w:tc>
          <w:tcPr>
            <w:tcW w:w="1086" w:type="dxa"/>
            <w:tcBorders>
              <w:top w:val="nil"/>
              <w:left w:val="nil"/>
              <w:bottom w:val="single" w:sz="4" w:space="0" w:color="auto"/>
              <w:right w:val="single" w:sz="4" w:space="0" w:color="auto"/>
            </w:tcBorders>
            <w:shd w:val="clear" w:color="auto" w:fill="auto"/>
            <w:noWrap/>
            <w:vAlign w:val="bottom"/>
          </w:tcPr>
          <w:p w:rsidR="00DA0B00" w:rsidRPr="00E66F0A" w:rsidRDefault="00DA0B00" w:rsidP="001D312A">
            <w:pPr>
              <w:jc w:val="right"/>
              <w:rPr>
                <w:rFonts w:ascii="Arial" w:hAnsi="Arial" w:cs="Arial"/>
                <w:sz w:val="20"/>
                <w:szCs w:val="20"/>
              </w:rPr>
            </w:pPr>
            <w:r w:rsidRPr="00E66F0A">
              <w:rPr>
                <w:rFonts w:ascii="Arial" w:hAnsi="Arial" w:cs="Arial"/>
                <w:sz w:val="20"/>
                <w:szCs w:val="20"/>
              </w:rPr>
              <w:t>207 300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763A2F">
            <w:pPr>
              <w:jc w:val="right"/>
              <w:rPr>
                <w:rFonts w:ascii="Arial" w:hAnsi="Arial" w:cs="Arial"/>
                <w:sz w:val="20"/>
                <w:szCs w:val="20"/>
              </w:rPr>
            </w:pPr>
            <w:r w:rsidRPr="00E66F0A">
              <w:rPr>
                <w:rFonts w:ascii="Arial" w:hAnsi="Arial" w:cs="Arial"/>
                <w:sz w:val="20"/>
                <w:szCs w:val="20"/>
              </w:rPr>
              <w:t>2</w:t>
            </w:r>
            <w:r w:rsidR="00763A2F">
              <w:rPr>
                <w:rFonts w:ascii="Arial" w:hAnsi="Arial" w:cs="Arial"/>
                <w:sz w:val="20"/>
                <w:szCs w:val="20"/>
              </w:rPr>
              <w:t>4</w:t>
            </w:r>
            <w:r w:rsidRPr="00E66F0A">
              <w:rPr>
                <w:rFonts w:ascii="Arial" w:hAnsi="Arial" w:cs="Arial"/>
                <w:sz w:val="20"/>
                <w:szCs w:val="20"/>
              </w:rPr>
              <w:t>9 590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763A2F">
            <w:pPr>
              <w:jc w:val="right"/>
              <w:rPr>
                <w:rFonts w:ascii="Arial" w:hAnsi="Arial" w:cs="Arial"/>
                <w:sz w:val="20"/>
                <w:szCs w:val="20"/>
              </w:rPr>
            </w:pPr>
            <w:r w:rsidRPr="00E66F0A">
              <w:rPr>
                <w:rFonts w:ascii="Arial" w:hAnsi="Arial" w:cs="Arial"/>
                <w:sz w:val="20"/>
                <w:szCs w:val="20"/>
              </w:rPr>
              <w:t>1,</w:t>
            </w:r>
            <w:r w:rsidR="00763A2F">
              <w:rPr>
                <w:rFonts w:ascii="Arial" w:hAnsi="Arial" w:cs="Arial"/>
                <w:sz w:val="20"/>
                <w:szCs w:val="20"/>
              </w:rPr>
              <w:t>2</w:t>
            </w:r>
            <w:r w:rsidRPr="00E66F0A">
              <w:rPr>
                <w:rFonts w:ascii="Arial" w:hAnsi="Arial" w:cs="Arial"/>
                <w:sz w:val="20"/>
                <w:szCs w:val="20"/>
              </w:rPr>
              <w:t>0</w:t>
            </w:r>
          </w:p>
        </w:tc>
      </w:tr>
      <w:tr w:rsidR="00DA0B00" w:rsidRPr="00334748" w:rsidTr="001D312A">
        <w:trPr>
          <w:trHeight w:val="264"/>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sz w:val="20"/>
                <w:szCs w:val="20"/>
              </w:rPr>
            </w:pPr>
            <w:r w:rsidRPr="00334748">
              <w:rPr>
                <w:rFonts w:ascii="Arial" w:hAnsi="Arial" w:cs="Arial"/>
                <w:sz w:val="20"/>
                <w:szCs w:val="20"/>
              </w:rPr>
              <w:t xml:space="preserve"> </w:t>
            </w:r>
          </w:p>
        </w:tc>
        <w:tc>
          <w:tcPr>
            <w:tcW w:w="4536" w:type="dxa"/>
            <w:tcBorders>
              <w:top w:val="nil"/>
              <w:left w:val="nil"/>
              <w:bottom w:val="single" w:sz="4" w:space="0" w:color="auto"/>
              <w:right w:val="single" w:sz="4" w:space="0" w:color="auto"/>
            </w:tcBorders>
            <w:shd w:val="clear" w:color="auto" w:fill="auto"/>
            <w:noWrap/>
            <w:vAlign w:val="bottom"/>
          </w:tcPr>
          <w:p w:rsidR="00DA0B00" w:rsidRPr="00334748" w:rsidRDefault="00DA0B00" w:rsidP="00F113C0">
            <w:pPr>
              <w:rPr>
                <w:rFonts w:ascii="Arial" w:hAnsi="Arial" w:cs="Arial"/>
                <w:sz w:val="20"/>
                <w:szCs w:val="20"/>
              </w:rPr>
            </w:pPr>
            <w:r w:rsidRPr="00334748">
              <w:rPr>
                <w:rFonts w:ascii="Arial" w:hAnsi="Arial" w:cs="Arial"/>
                <w:sz w:val="20"/>
                <w:szCs w:val="20"/>
              </w:rPr>
              <w:t xml:space="preserve">Financování </w:t>
            </w:r>
            <w:r w:rsidR="00F113C0">
              <w:rPr>
                <w:rFonts w:ascii="Arial" w:hAnsi="Arial" w:cs="Arial"/>
                <w:sz w:val="20"/>
                <w:szCs w:val="20"/>
              </w:rPr>
              <w:t>přímo z</w:t>
            </w:r>
            <w:r w:rsidRPr="00334748">
              <w:rPr>
                <w:rFonts w:ascii="Arial" w:hAnsi="Arial" w:cs="Arial"/>
                <w:sz w:val="20"/>
                <w:szCs w:val="20"/>
              </w:rPr>
              <w:t xml:space="preserve"> kapitoly 322 MPO</w:t>
            </w:r>
          </w:p>
        </w:tc>
        <w:tc>
          <w:tcPr>
            <w:tcW w:w="1086" w:type="dxa"/>
            <w:tcBorders>
              <w:top w:val="nil"/>
              <w:left w:val="nil"/>
              <w:bottom w:val="single" w:sz="4" w:space="0" w:color="auto"/>
              <w:right w:val="single" w:sz="4" w:space="0" w:color="auto"/>
            </w:tcBorders>
            <w:shd w:val="clear" w:color="auto" w:fill="auto"/>
            <w:noWrap/>
            <w:vAlign w:val="bottom"/>
          </w:tcPr>
          <w:p w:rsidR="00DA0B00" w:rsidRPr="00E66F0A" w:rsidRDefault="00DA0B00" w:rsidP="001D312A">
            <w:pPr>
              <w:jc w:val="right"/>
              <w:rPr>
                <w:rFonts w:ascii="Arial" w:hAnsi="Arial" w:cs="Arial"/>
                <w:sz w:val="20"/>
                <w:szCs w:val="20"/>
              </w:rPr>
            </w:pPr>
            <w:r w:rsidRPr="00E66F0A">
              <w:rPr>
                <w:rFonts w:ascii="Arial" w:hAnsi="Arial" w:cs="Arial"/>
                <w:sz w:val="20"/>
                <w:szCs w:val="20"/>
              </w:rPr>
              <w:t>5 000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6033EA" w:rsidP="006033EA">
            <w:pPr>
              <w:jc w:val="right"/>
              <w:rPr>
                <w:rFonts w:ascii="Arial" w:hAnsi="Arial" w:cs="Arial"/>
                <w:sz w:val="20"/>
                <w:szCs w:val="20"/>
              </w:rPr>
            </w:pPr>
            <w:r>
              <w:rPr>
                <w:rFonts w:ascii="Arial" w:hAnsi="Arial" w:cs="Arial"/>
                <w:sz w:val="20"/>
                <w:szCs w:val="20"/>
              </w:rPr>
              <w:t>4</w:t>
            </w:r>
            <w:r w:rsidR="00DA0B00" w:rsidRPr="00E66F0A">
              <w:rPr>
                <w:rFonts w:ascii="Arial" w:hAnsi="Arial" w:cs="Arial"/>
                <w:sz w:val="20"/>
                <w:szCs w:val="20"/>
              </w:rPr>
              <w:t xml:space="preserve"> </w:t>
            </w:r>
            <w:r>
              <w:rPr>
                <w:rFonts w:ascii="Arial" w:hAnsi="Arial" w:cs="Arial"/>
                <w:sz w:val="20"/>
                <w:szCs w:val="20"/>
              </w:rPr>
              <w:t>7</w:t>
            </w:r>
            <w:r w:rsidR="00DA0B00" w:rsidRPr="00E66F0A">
              <w:rPr>
                <w:rFonts w:ascii="Arial" w:hAnsi="Arial" w:cs="Arial"/>
                <w:sz w:val="20"/>
                <w:szCs w:val="20"/>
              </w:rPr>
              <w:t>00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6033EA" w:rsidP="006033EA">
            <w:pPr>
              <w:jc w:val="right"/>
              <w:rPr>
                <w:rFonts w:ascii="Arial" w:hAnsi="Arial" w:cs="Arial"/>
                <w:sz w:val="20"/>
                <w:szCs w:val="20"/>
              </w:rPr>
            </w:pPr>
            <w:r>
              <w:rPr>
                <w:rFonts w:ascii="Arial" w:hAnsi="Arial" w:cs="Arial"/>
                <w:sz w:val="20"/>
                <w:szCs w:val="20"/>
              </w:rPr>
              <w:t>0</w:t>
            </w:r>
            <w:r w:rsidR="00DA0B00" w:rsidRPr="00E66F0A">
              <w:rPr>
                <w:rFonts w:ascii="Arial" w:hAnsi="Arial" w:cs="Arial"/>
                <w:sz w:val="20"/>
                <w:szCs w:val="20"/>
              </w:rPr>
              <w:t>,</w:t>
            </w:r>
            <w:r>
              <w:rPr>
                <w:rFonts w:ascii="Arial" w:hAnsi="Arial" w:cs="Arial"/>
                <w:sz w:val="20"/>
                <w:szCs w:val="20"/>
              </w:rPr>
              <w:t>94</w:t>
            </w:r>
          </w:p>
        </w:tc>
      </w:tr>
      <w:tr w:rsidR="00DA0B00" w:rsidRPr="002E33C8" w:rsidTr="001D312A">
        <w:trPr>
          <w:trHeight w:val="264"/>
        </w:trPr>
        <w:tc>
          <w:tcPr>
            <w:tcW w:w="1288" w:type="dxa"/>
            <w:tcBorders>
              <w:top w:val="nil"/>
              <w:left w:val="single" w:sz="4" w:space="0" w:color="auto"/>
              <w:bottom w:val="single" w:sz="4" w:space="0" w:color="auto"/>
              <w:right w:val="single" w:sz="4" w:space="0" w:color="auto"/>
            </w:tcBorders>
            <w:shd w:val="clear" w:color="auto" w:fill="auto"/>
            <w:noWrap/>
            <w:vAlign w:val="bottom"/>
          </w:tcPr>
          <w:p w:rsidR="00DA0B00" w:rsidRPr="00334748" w:rsidRDefault="00DA0B00" w:rsidP="001D312A">
            <w:pPr>
              <w:jc w:val="center"/>
              <w:rPr>
                <w:rFonts w:ascii="Arial" w:hAnsi="Arial" w:cs="Arial"/>
                <w:sz w:val="20"/>
                <w:szCs w:val="20"/>
              </w:rPr>
            </w:pPr>
            <w:r w:rsidRPr="00334748">
              <w:rPr>
                <w:rFonts w:ascii="Arial" w:hAnsi="Arial" w:cs="Arial"/>
                <w:sz w:val="20"/>
                <w:szCs w:val="20"/>
              </w:rPr>
              <w:t xml:space="preserve"> </w:t>
            </w:r>
          </w:p>
        </w:tc>
        <w:tc>
          <w:tcPr>
            <w:tcW w:w="4536" w:type="dxa"/>
            <w:tcBorders>
              <w:top w:val="nil"/>
              <w:left w:val="nil"/>
              <w:bottom w:val="single" w:sz="4" w:space="0" w:color="auto"/>
              <w:right w:val="single" w:sz="4" w:space="0" w:color="auto"/>
            </w:tcBorders>
            <w:shd w:val="clear" w:color="auto" w:fill="auto"/>
            <w:noWrap/>
            <w:vAlign w:val="bottom"/>
          </w:tcPr>
          <w:p w:rsidR="00DA0B00" w:rsidRPr="00334748" w:rsidRDefault="00F113C0" w:rsidP="00F113C0">
            <w:pPr>
              <w:rPr>
                <w:rFonts w:ascii="Arial" w:hAnsi="Arial" w:cs="Arial"/>
                <w:sz w:val="20"/>
                <w:szCs w:val="20"/>
              </w:rPr>
            </w:pPr>
            <w:r>
              <w:rPr>
                <w:rFonts w:ascii="Arial" w:hAnsi="Arial" w:cs="Arial"/>
                <w:sz w:val="20"/>
                <w:szCs w:val="20"/>
              </w:rPr>
              <w:t>F</w:t>
            </w:r>
            <w:r w:rsidR="00DA0B00" w:rsidRPr="00334748">
              <w:rPr>
                <w:rFonts w:ascii="Arial" w:hAnsi="Arial" w:cs="Arial"/>
                <w:sz w:val="20"/>
                <w:szCs w:val="20"/>
              </w:rPr>
              <w:t xml:space="preserve"> </w:t>
            </w:r>
            <w:r>
              <w:rPr>
                <w:rFonts w:ascii="Arial" w:hAnsi="Arial" w:cs="Arial"/>
                <w:sz w:val="20"/>
                <w:szCs w:val="20"/>
              </w:rPr>
              <w:t>i n a n c o v á n í</w:t>
            </w:r>
            <w:r w:rsidR="00DA0B00" w:rsidRPr="00334748">
              <w:rPr>
                <w:rFonts w:ascii="Arial" w:hAnsi="Arial" w:cs="Arial"/>
                <w:sz w:val="20"/>
                <w:szCs w:val="20"/>
              </w:rPr>
              <w:t xml:space="preserve">  c e l k e m :</w:t>
            </w:r>
          </w:p>
        </w:tc>
        <w:tc>
          <w:tcPr>
            <w:tcW w:w="1086" w:type="dxa"/>
            <w:tcBorders>
              <w:top w:val="nil"/>
              <w:left w:val="nil"/>
              <w:bottom w:val="single" w:sz="4" w:space="0" w:color="auto"/>
              <w:right w:val="single" w:sz="4" w:space="0" w:color="auto"/>
            </w:tcBorders>
            <w:shd w:val="clear" w:color="auto" w:fill="auto"/>
            <w:noWrap/>
            <w:vAlign w:val="bottom"/>
          </w:tcPr>
          <w:p w:rsidR="00DA0B00" w:rsidRPr="00E66F0A" w:rsidRDefault="00DA0B00" w:rsidP="001D312A">
            <w:pPr>
              <w:jc w:val="right"/>
              <w:rPr>
                <w:rFonts w:ascii="Arial" w:hAnsi="Arial" w:cs="Arial"/>
                <w:sz w:val="20"/>
                <w:szCs w:val="20"/>
              </w:rPr>
            </w:pPr>
            <w:r w:rsidRPr="00E66F0A">
              <w:rPr>
                <w:rFonts w:ascii="Arial" w:hAnsi="Arial" w:cs="Arial"/>
                <w:sz w:val="20"/>
                <w:szCs w:val="20"/>
              </w:rPr>
              <w:t>399 900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6033EA">
            <w:pPr>
              <w:jc w:val="right"/>
              <w:rPr>
                <w:rFonts w:ascii="Arial" w:hAnsi="Arial" w:cs="Arial"/>
                <w:sz w:val="20"/>
                <w:szCs w:val="20"/>
              </w:rPr>
            </w:pPr>
            <w:r w:rsidRPr="00E66F0A">
              <w:rPr>
                <w:rFonts w:ascii="Arial" w:hAnsi="Arial" w:cs="Arial"/>
                <w:sz w:val="20"/>
                <w:szCs w:val="20"/>
              </w:rPr>
              <w:t>52</w:t>
            </w:r>
            <w:r w:rsidR="006033EA">
              <w:rPr>
                <w:rFonts w:ascii="Arial" w:hAnsi="Arial" w:cs="Arial"/>
                <w:sz w:val="20"/>
                <w:szCs w:val="20"/>
              </w:rPr>
              <w:t>7</w:t>
            </w:r>
            <w:r w:rsidRPr="00E66F0A">
              <w:rPr>
                <w:rFonts w:ascii="Arial" w:hAnsi="Arial" w:cs="Arial"/>
                <w:sz w:val="20"/>
                <w:szCs w:val="20"/>
              </w:rPr>
              <w:t xml:space="preserve"> </w:t>
            </w:r>
            <w:r w:rsidR="006033EA">
              <w:rPr>
                <w:rFonts w:ascii="Arial" w:hAnsi="Arial" w:cs="Arial"/>
                <w:sz w:val="20"/>
                <w:szCs w:val="20"/>
              </w:rPr>
              <w:t>8</w:t>
            </w:r>
            <w:r w:rsidRPr="00E66F0A">
              <w:rPr>
                <w:rFonts w:ascii="Arial" w:hAnsi="Arial" w:cs="Arial"/>
                <w:sz w:val="20"/>
                <w:szCs w:val="20"/>
              </w:rPr>
              <w:t>00</w:t>
            </w:r>
          </w:p>
        </w:tc>
        <w:tc>
          <w:tcPr>
            <w:tcW w:w="1087" w:type="dxa"/>
            <w:tcBorders>
              <w:top w:val="nil"/>
              <w:left w:val="nil"/>
              <w:bottom w:val="single" w:sz="4" w:space="0" w:color="auto"/>
              <w:right w:val="single" w:sz="4" w:space="0" w:color="auto"/>
            </w:tcBorders>
            <w:shd w:val="clear" w:color="auto" w:fill="auto"/>
            <w:noWrap/>
            <w:vAlign w:val="bottom"/>
          </w:tcPr>
          <w:p w:rsidR="00DA0B00" w:rsidRPr="00E66F0A" w:rsidRDefault="00DA0B00" w:rsidP="001D312A">
            <w:pPr>
              <w:jc w:val="right"/>
              <w:rPr>
                <w:rFonts w:ascii="Arial" w:hAnsi="Arial" w:cs="Arial"/>
                <w:sz w:val="20"/>
                <w:szCs w:val="20"/>
              </w:rPr>
            </w:pPr>
            <w:r w:rsidRPr="00E66F0A">
              <w:rPr>
                <w:rFonts w:ascii="Arial" w:hAnsi="Arial" w:cs="Arial"/>
                <w:sz w:val="20"/>
                <w:szCs w:val="20"/>
              </w:rPr>
              <w:t>1,32</w:t>
            </w:r>
          </w:p>
        </w:tc>
      </w:tr>
    </w:tbl>
    <w:p w:rsidR="003E6254" w:rsidRPr="002E33C8" w:rsidRDefault="003E6254" w:rsidP="00DA0B00">
      <w:pPr>
        <w:pStyle w:val="NormlnNormlnA0"/>
        <w:ind w:firstLine="709"/>
        <w:rPr>
          <w:rFonts w:ascii="Arial" w:hAnsi="Arial" w:cs="Arial"/>
        </w:rPr>
      </w:pPr>
    </w:p>
    <w:p w:rsidR="00DA0B00" w:rsidRDefault="00DA0B00" w:rsidP="00DA0B00">
      <w:pPr>
        <w:pStyle w:val="NormlnNormlnA0"/>
        <w:ind w:firstLine="709"/>
        <w:rPr>
          <w:rFonts w:ascii="Arial" w:hAnsi="Arial" w:cs="Arial"/>
        </w:rPr>
      </w:pPr>
      <w:r w:rsidRPr="002E33C8">
        <w:rPr>
          <w:rFonts w:ascii="Arial" w:hAnsi="Arial" w:cs="Arial"/>
        </w:rPr>
        <w:t>Rozdělení výdajů na jednotlivé činnosti Správy je uveden</w:t>
      </w:r>
      <w:r>
        <w:rPr>
          <w:rFonts w:ascii="Arial" w:hAnsi="Arial" w:cs="Arial"/>
        </w:rPr>
        <w:t>o</w:t>
      </w:r>
      <w:r w:rsidRPr="002E33C8">
        <w:rPr>
          <w:rFonts w:ascii="Arial" w:hAnsi="Arial" w:cs="Arial"/>
        </w:rPr>
        <w:t xml:space="preserve"> v</w:t>
      </w:r>
      <w:r>
        <w:rPr>
          <w:rFonts w:ascii="Arial" w:hAnsi="Arial" w:cs="Arial"/>
        </w:rPr>
        <w:t> </w:t>
      </w:r>
      <w:r w:rsidRPr="002E33C8">
        <w:rPr>
          <w:rFonts w:ascii="Arial" w:hAnsi="Arial" w:cs="Arial"/>
        </w:rPr>
        <w:t>příloze</w:t>
      </w:r>
      <w:r>
        <w:rPr>
          <w:rFonts w:ascii="Arial" w:hAnsi="Arial" w:cs="Arial"/>
        </w:rPr>
        <w:t xml:space="preserve"> č. 1</w:t>
      </w:r>
      <w:r w:rsidRPr="002E33C8">
        <w:rPr>
          <w:rFonts w:ascii="Arial" w:hAnsi="Arial" w:cs="Arial"/>
        </w:rPr>
        <w:t>. Běžné výdaje zahrnují zejména náklady na provoz úložišť, pokrývají administrativně správní činnosti Správy a zahrnují příspěvek obcím podle §</w:t>
      </w:r>
      <w:r>
        <w:rPr>
          <w:rFonts w:ascii="Arial" w:hAnsi="Arial" w:cs="Arial"/>
        </w:rPr>
        <w:t xml:space="preserve"> </w:t>
      </w:r>
      <w:r w:rsidRPr="002E33C8">
        <w:rPr>
          <w:rFonts w:ascii="Arial" w:hAnsi="Arial" w:cs="Arial"/>
        </w:rPr>
        <w:t>27 odst. 9 písm. a) a c) zákona č.</w:t>
      </w:r>
      <w:r>
        <w:rPr>
          <w:rFonts w:ascii="Arial" w:hAnsi="Arial" w:cs="Arial"/>
        </w:rPr>
        <w:t> </w:t>
      </w:r>
      <w:r w:rsidRPr="002E33C8">
        <w:rPr>
          <w:rFonts w:ascii="Arial" w:hAnsi="Arial" w:cs="Arial"/>
        </w:rPr>
        <w:t>18/1997 Sb. v souladu s nařízením vlády č. 416/2002 Sb.</w:t>
      </w:r>
      <w:r>
        <w:rPr>
          <w:rFonts w:ascii="Arial" w:hAnsi="Arial" w:cs="Arial"/>
        </w:rPr>
        <w:t>,</w:t>
      </w:r>
      <w:r w:rsidRPr="002E33C8">
        <w:rPr>
          <w:rFonts w:ascii="Arial" w:hAnsi="Arial" w:cs="Arial"/>
        </w:rPr>
        <w:t xml:space="preserve"> v platném znění. Kapitálové výdaje jsou určeny zejména na průzkumné, výzkumné a vývojové práce související s přípravou </w:t>
      </w:r>
      <w:r>
        <w:rPr>
          <w:rFonts w:ascii="Arial" w:hAnsi="Arial" w:cs="Arial"/>
        </w:rPr>
        <w:t>HÚ</w:t>
      </w:r>
      <w:r w:rsidRPr="002E33C8">
        <w:rPr>
          <w:rFonts w:ascii="Arial" w:hAnsi="Arial" w:cs="Arial"/>
        </w:rPr>
        <w:t xml:space="preserve">. </w:t>
      </w:r>
      <w:r w:rsidR="002924EE">
        <w:rPr>
          <w:rFonts w:ascii="Arial" w:hAnsi="Arial" w:cs="Arial"/>
        </w:rPr>
        <w:t>Prostředky na platy jsou rozpočtovány pro 66 pracovních míst a Správa nepředpokládá v roce 2017 zvýšení počtu pracovních míst nad tuto hodnotu.</w:t>
      </w:r>
    </w:p>
    <w:p w:rsidR="002A7C7F" w:rsidRDefault="002A7C7F" w:rsidP="00DA0B00">
      <w:pPr>
        <w:pStyle w:val="NormlnNormlnA0"/>
        <w:ind w:firstLine="709"/>
        <w:rPr>
          <w:rFonts w:ascii="Arial" w:hAnsi="Arial" w:cs="Arial"/>
        </w:rPr>
      </w:pPr>
      <w:r>
        <w:rPr>
          <w:rFonts w:ascii="Arial" w:hAnsi="Arial" w:cs="Arial"/>
        </w:rPr>
        <w:t xml:space="preserve">Návrh rozpočtu Správy je uveden v návrhu zákona o státním rozpočtu na rok 2017 (kapitola 322 – Ministerstvo průmyslu a obchodu) schváleným usnesením vlády č. 831/2016, s následujícími specifickými ukazately výdajů: </w:t>
      </w:r>
    </w:p>
    <w:p w:rsidR="002A7C7F" w:rsidRPr="002A7C7F" w:rsidRDefault="002A7C7F" w:rsidP="002A7C7F">
      <w:pPr>
        <w:pStyle w:val="NormlnNormlnA0"/>
        <w:ind w:firstLine="709"/>
        <w:rPr>
          <w:rFonts w:ascii="Arial" w:hAnsi="Arial" w:cs="Arial"/>
        </w:rPr>
      </w:pPr>
      <w:r w:rsidRPr="002A7C7F">
        <w:rPr>
          <w:rFonts w:ascii="Arial" w:hAnsi="Arial" w:cs="Arial"/>
        </w:rPr>
        <w:t>Financování Správy úložišť radioaktivních odpadů</w:t>
      </w:r>
      <w:r>
        <w:rPr>
          <w:rFonts w:ascii="Arial" w:hAnsi="Arial" w:cs="Arial"/>
        </w:rPr>
        <w:t xml:space="preserve"> </w:t>
      </w:r>
      <w:r w:rsidRPr="002A7C7F">
        <w:rPr>
          <w:rFonts w:ascii="Arial" w:hAnsi="Arial" w:cs="Arial"/>
        </w:rPr>
        <w:t>527 800</w:t>
      </w:r>
      <w:r>
        <w:rPr>
          <w:rFonts w:ascii="Arial" w:hAnsi="Arial" w:cs="Arial"/>
        </w:rPr>
        <w:t> </w:t>
      </w:r>
      <w:r w:rsidRPr="002A7C7F">
        <w:rPr>
          <w:rFonts w:ascii="Arial" w:hAnsi="Arial" w:cs="Arial"/>
        </w:rPr>
        <w:t>000</w:t>
      </w:r>
      <w:r>
        <w:rPr>
          <w:rFonts w:ascii="Arial" w:hAnsi="Arial" w:cs="Arial"/>
        </w:rPr>
        <w:t>,- Kč</w:t>
      </w:r>
    </w:p>
    <w:p w:rsidR="002A7C7F" w:rsidRPr="002A7C7F" w:rsidRDefault="002A7C7F" w:rsidP="002A7C7F">
      <w:pPr>
        <w:pStyle w:val="NormlnNormlnA0"/>
        <w:ind w:firstLine="709"/>
        <w:rPr>
          <w:rFonts w:ascii="Arial" w:hAnsi="Arial" w:cs="Arial"/>
        </w:rPr>
      </w:pPr>
      <w:r w:rsidRPr="002A7C7F">
        <w:rPr>
          <w:rFonts w:ascii="Arial" w:hAnsi="Arial" w:cs="Arial"/>
        </w:rPr>
        <w:t>v tom:</w:t>
      </w:r>
      <w:r>
        <w:rPr>
          <w:rFonts w:ascii="Arial" w:hAnsi="Arial" w:cs="Arial"/>
        </w:rPr>
        <w:t xml:space="preserve"> </w:t>
      </w:r>
      <w:r w:rsidRPr="002A7C7F">
        <w:rPr>
          <w:rFonts w:ascii="Arial" w:hAnsi="Arial" w:cs="Arial"/>
        </w:rPr>
        <w:t>výdaje kryté převodem z jaderného účtu</w:t>
      </w:r>
      <w:r>
        <w:rPr>
          <w:rFonts w:ascii="Arial" w:hAnsi="Arial" w:cs="Arial"/>
        </w:rPr>
        <w:t xml:space="preserve"> </w:t>
      </w:r>
      <w:r w:rsidRPr="002A7C7F">
        <w:rPr>
          <w:rFonts w:ascii="Arial" w:hAnsi="Arial" w:cs="Arial"/>
        </w:rPr>
        <w:t>523 100</w:t>
      </w:r>
      <w:r>
        <w:rPr>
          <w:rFonts w:ascii="Arial" w:hAnsi="Arial" w:cs="Arial"/>
        </w:rPr>
        <w:t> </w:t>
      </w:r>
      <w:r w:rsidRPr="002A7C7F">
        <w:rPr>
          <w:rFonts w:ascii="Arial" w:hAnsi="Arial" w:cs="Arial"/>
        </w:rPr>
        <w:t>000</w:t>
      </w:r>
      <w:r>
        <w:rPr>
          <w:rFonts w:ascii="Arial" w:hAnsi="Arial" w:cs="Arial"/>
        </w:rPr>
        <w:t>,- Kč</w:t>
      </w:r>
    </w:p>
    <w:p w:rsidR="002A7C7F" w:rsidRDefault="002A7C7F" w:rsidP="002A7C7F">
      <w:pPr>
        <w:pStyle w:val="NormlnNormlnA0"/>
        <w:ind w:firstLine="709"/>
        <w:rPr>
          <w:rFonts w:ascii="Arial" w:hAnsi="Arial" w:cs="Arial"/>
        </w:rPr>
      </w:pPr>
      <w:r w:rsidRPr="002A7C7F">
        <w:rPr>
          <w:rFonts w:ascii="Arial" w:hAnsi="Arial" w:cs="Arial"/>
        </w:rPr>
        <w:t>ostatní výdaje</w:t>
      </w:r>
      <w:r>
        <w:rPr>
          <w:rFonts w:ascii="Arial" w:hAnsi="Arial" w:cs="Arial"/>
        </w:rPr>
        <w:t xml:space="preserve"> </w:t>
      </w:r>
      <w:r w:rsidRPr="002A7C7F">
        <w:rPr>
          <w:rFonts w:ascii="Arial" w:hAnsi="Arial" w:cs="Arial"/>
        </w:rPr>
        <w:t>4 700</w:t>
      </w:r>
      <w:r>
        <w:rPr>
          <w:rFonts w:ascii="Arial" w:hAnsi="Arial" w:cs="Arial"/>
        </w:rPr>
        <w:t> </w:t>
      </w:r>
      <w:r w:rsidRPr="002A7C7F">
        <w:rPr>
          <w:rFonts w:ascii="Arial" w:hAnsi="Arial" w:cs="Arial"/>
        </w:rPr>
        <w:t>000</w:t>
      </w:r>
      <w:r>
        <w:rPr>
          <w:rFonts w:ascii="Arial" w:hAnsi="Arial" w:cs="Arial"/>
        </w:rPr>
        <w:t>,- Kč.</w:t>
      </w:r>
    </w:p>
    <w:p w:rsidR="002A7C7F" w:rsidRDefault="002A7C7F" w:rsidP="00DA0B00">
      <w:pPr>
        <w:pStyle w:val="NormlnNormlnA0"/>
        <w:ind w:firstLine="709"/>
        <w:rPr>
          <w:rFonts w:ascii="Arial" w:hAnsi="Arial" w:cs="Arial"/>
        </w:rPr>
      </w:pPr>
    </w:p>
    <w:p w:rsidR="00DA0B00" w:rsidRPr="002E33C8" w:rsidRDefault="00DA0B00" w:rsidP="00DA0B00">
      <w:pPr>
        <w:pStyle w:val="Nadpis1"/>
        <w:rPr>
          <w:rFonts w:ascii="Arial" w:hAnsi="Arial" w:cs="Arial"/>
        </w:rPr>
      </w:pPr>
      <w:bookmarkStart w:id="103" w:name="_Toc515325899"/>
      <w:bookmarkStart w:id="104" w:name="_Toc14078651"/>
      <w:bookmarkStart w:id="105" w:name="_Toc453575865"/>
      <w:bookmarkStart w:id="106" w:name="_Toc432928764"/>
      <w:bookmarkStart w:id="107" w:name="_Toc432928828"/>
      <w:bookmarkStart w:id="108" w:name="_Toc432928953"/>
      <w:bookmarkStart w:id="109" w:name="_Toc432987599"/>
      <w:bookmarkStart w:id="110" w:name="_Toc433077164"/>
      <w:bookmarkStart w:id="111" w:name="_Toc433080446"/>
      <w:bookmarkStart w:id="112" w:name="_Toc427475063"/>
      <w:bookmarkStart w:id="113" w:name="_Toc427982357"/>
      <w:bookmarkStart w:id="114" w:name="_Toc431523819"/>
      <w:bookmarkStart w:id="115" w:name="_Toc431539536"/>
      <w:bookmarkStart w:id="116" w:name="_Toc432730245"/>
      <w:r w:rsidRPr="002E33C8">
        <w:rPr>
          <w:rFonts w:ascii="Arial" w:hAnsi="Arial" w:cs="Arial"/>
        </w:rPr>
        <w:t>Plnění usnesení vlády</w:t>
      </w:r>
      <w:bookmarkEnd w:id="103"/>
      <w:bookmarkEnd w:id="104"/>
      <w:bookmarkEnd w:id="105"/>
      <w:r w:rsidRPr="002E33C8">
        <w:rPr>
          <w:rFonts w:ascii="Arial" w:hAnsi="Arial" w:cs="Arial"/>
        </w:rPr>
        <w:t xml:space="preserve"> </w:t>
      </w:r>
      <w:bookmarkEnd w:id="106"/>
      <w:bookmarkEnd w:id="107"/>
      <w:bookmarkEnd w:id="108"/>
      <w:bookmarkEnd w:id="109"/>
      <w:bookmarkEnd w:id="110"/>
      <w:bookmarkEnd w:id="111"/>
      <w:bookmarkEnd w:id="112"/>
      <w:bookmarkEnd w:id="113"/>
      <w:bookmarkEnd w:id="114"/>
      <w:bookmarkEnd w:id="115"/>
      <w:bookmarkEnd w:id="116"/>
    </w:p>
    <w:p w:rsidR="00DA0B00" w:rsidRPr="002E33C8" w:rsidRDefault="00DA0B00" w:rsidP="00DA0B00">
      <w:pPr>
        <w:pStyle w:val="Normln0"/>
        <w:rPr>
          <w:rFonts w:ascii="Arial" w:hAnsi="Arial" w:cs="Arial"/>
          <w:sz w:val="24"/>
          <w:szCs w:val="24"/>
        </w:rPr>
      </w:pPr>
    </w:p>
    <w:p w:rsidR="00DA0B00" w:rsidRDefault="00DA0B00" w:rsidP="00DA0B00">
      <w:pPr>
        <w:pStyle w:val="Zkladntext2"/>
        <w:spacing w:before="0"/>
        <w:rPr>
          <w:rFonts w:ascii="Arial" w:hAnsi="Arial" w:cs="Arial"/>
          <w:sz w:val="24"/>
          <w:szCs w:val="24"/>
        </w:rPr>
      </w:pPr>
      <w:r w:rsidRPr="002E33C8">
        <w:rPr>
          <w:rFonts w:ascii="Arial" w:hAnsi="Arial" w:cs="Arial"/>
          <w:sz w:val="24"/>
          <w:szCs w:val="24"/>
        </w:rPr>
        <w:tab/>
        <w:t xml:space="preserve">Usnesením vlády č. </w:t>
      </w:r>
      <w:r>
        <w:rPr>
          <w:rFonts w:ascii="Arial" w:hAnsi="Arial" w:cs="Arial"/>
          <w:sz w:val="24"/>
          <w:szCs w:val="24"/>
        </w:rPr>
        <w:t xml:space="preserve">1078 </w:t>
      </w:r>
      <w:r w:rsidRPr="002E33C8">
        <w:rPr>
          <w:rFonts w:ascii="Arial" w:hAnsi="Arial" w:cs="Arial"/>
          <w:sz w:val="24"/>
          <w:szCs w:val="24"/>
        </w:rPr>
        <w:t xml:space="preserve">ze dne </w:t>
      </w:r>
      <w:r>
        <w:rPr>
          <w:rFonts w:ascii="Arial" w:hAnsi="Arial" w:cs="Arial"/>
          <w:sz w:val="24"/>
          <w:szCs w:val="24"/>
        </w:rPr>
        <w:t>21</w:t>
      </w:r>
      <w:r w:rsidRPr="002E33C8">
        <w:rPr>
          <w:rFonts w:ascii="Arial" w:hAnsi="Arial" w:cs="Arial"/>
          <w:sz w:val="24"/>
          <w:szCs w:val="24"/>
        </w:rPr>
        <w:t>. 12. 201</w:t>
      </w:r>
      <w:r>
        <w:rPr>
          <w:rFonts w:ascii="Arial" w:hAnsi="Arial" w:cs="Arial"/>
          <w:sz w:val="24"/>
          <w:szCs w:val="24"/>
        </w:rPr>
        <w:t>5</w:t>
      </w:r>
      <w:r w:rsidRPr="002E33C8">
        <w:rPr>
          <w:rFonts w:ascii="Arial" w:hAnsi="Arial" w:cs="Arial"/>
          <w:sz w:val="24"/>
          <w:szCs w:val="24"/>
        </w:rPr>
        <w:t xml:space="preserve"> byl schválen rozpočet Správy na rok 201</w:t>
      </w:r>
      <w:r>
        <w:rPr>
          <w:rFonts w:ascii="Arial" w:hAnsi="Arial" w:cs="Arial"/>
          <w:sz w:val="24"/>
          <w:szCs w:val="24"/>
        </w:rPr>
        <w:t>6</w:t>
      </w:r>
      <w:r w:rsidRPr="002E33C8">
        <w:rPr>
          <w:rFonts w:ascii="Arial" w:hAnsi="Arial" w:cs="Arial"/>
          <w:sz w:val="24"/>
          <w:szCs w:val="24"/>
        </w:rPr>
        <w:t xml:space="preserve"> a plán činnosti Správy. Plnění úkolů v roce 201</w:t>
      </w:r>
      <w:r>
        <w:rPr>
          <w:rFonts w:ascii="Arial" w:hAnsi="Arial" w:cs="Arial"/>
          <w:sz w:val="24"/>
          <w:szCs w:val="24"/>
        </w:rPr>
        <w:t>6</w:t>
      </w:r>
      <w:r w:rsidRPr="002E33C8">
        <w:rPr>
          <w:rFonts w:ascii="Arial" w:hAnsi="Arial" w:cs="Arial"/>
          <w:sz w:val="24"/>
          <w:szCs w:val="24"/>
        </w:rPr>
        <w:t xml:space="preserve"> bude uvedeno ve výroční zprávě Správy, která bude předložena vládě ke schválení v 1. polovině roku 201</w:t>
      </w:r>
      <w:r>
        <w:rPr>
          <w:rFonts w:ascii="Arial" w:hAnsi="Arial" w:cs="Arial"/>
          <w:sz w:val="24"/>
          <w:szCs w:val="24"/>
        </w:rPr>
        <w:t>7</w:t>
      </w:r>
      <w:r w:rsidRPr="002E33C8">
        <w:rPr>
          <w:rFonts w:ascii="Arial" w:hAnsi="Arial" w:cs="Arial"/>
          <w:sz w:val="24"/>
          <w:szCs w:val="24"/>
        </w:rPr>
        <w:t xml:space="preserve">. </w:t>
      </w:r>
    </w:p>
    <w:p w:rsidR="0041258A" w:rsidRPr="0041258A" w:rsidRDefault="0041258A" w:rsidP="00556F7F">
      <w:pPr>
        <w:pStyle w:val="Zkladntext2"/>
        <w:spacing w:before="0"/>
        <w:ind w:firstLine="708"/>
        <w:rPr>
          <w:rFonts w:ascii="Arial" w:hAnsi="Arial" w:cs="Arial"/>
          <w:sz w:val="24"/>
          <w:szCs w:val="24"/>
        </w:rPr>
      </w:pPr>
      <w:r>
        <w:rPr>
          <w:rFonts w:ascii="Arial" w:hAnsi="Arial" w:cs="Arial"/>
          <w:sz w:val="24"/>
          <w:szCs w:val="24"/>
        </w:rPr>
        <w:t>Činnosti S</w:t>
      </w:r>
      <w:r w:rsidR="00EE6AB6">
        <w:rPr>
          <w:rFonts w:ascii="Arial" w:hAnsi="Arial" w:cs="Arial"/>
          <w:sz w:val="24"/>
          <w:szCs w:val="24"/>
        </w:rPr>
        <w:t>právy</w:t>
      </w:r>
      <w:r>
        <w:rPr>
          <w:rFonts w:ascii="Arial" w:hAnsi="Arial" w:cs="Arial"/>
          <w:sz w:val="24"/>
          <w:szCs w:val="24"/>
        </w:rPr>
        <w:t xml:space="preserve"> se rovněž týká usnesení vlády č. 50/2016 </w:t>
      </w:r>
      <w:r w:rsidR="00704762" w:rsidRPr="002E33C8">
        <w:rPr>
          <w:rFonts w:ascii="Arial" w:hAnsi="Arial" w:cs="Arial"/>
          <w:sz w:val="24"/>
          <w:szCs w:val="24"/>
        </w:rPr>
        <w:t xml:space="preserve">ze dne </w:t>
      </w:r>
      <w:r w:rsidR="00704762">
        <w:rPr>
          <w:rFonts w:ascii="Arial" w:hAnsi="Arial" w:cs="Arial"/>
          <w:sz w:val="24"/>
          <w:szCs w:val="24"/>
        </w:rPr>
        <w:t>25</w:t>
      </w:r>
      <w:r w:rsidR="00704762" w:rsidRPr="002E33C8">
        <w:rPr>
          <w:rFonts w:ascii="Arial" w:hAnsi="Arial" w:cs="Arial"/>
          <w:sz w:val="24"/>
          <w:szCs w:val="24"/>
        </w:rPr>
        <w:t>. 1. 201</w:t>
      </w:r>
      <w:r w:rsidR="00704762">
        <w:rPr>
          <w:rFonts w:ascii="Arial" w:hAnsi="Arial" w:cs="Arial"/>
          <w:sz w:val="24"/>
          <w:szCs w:val="24"/>
        </w:rPr>
        <w:t>6</w:t>
      </w:r>
      <w:r w:rsidR="00704762" w:rsidRPr="002E33C8">
        <w:rPr>
          <w:rFonts w:ascii="Arial" w:hAnsi="Arial" w:cs="Arial"/>
          <w:sz w:val="24"/>
          <w:szCs w:val="24"/>
        </w:rPr>
        <w:t xml:space="preserve"> </w:t>
      </w:r>
      <w:r>
        <w:rPr>
          <w:rFonts w:ascii="Arial" w:hAnsi="Arial" w:cs="Arial"/>
          <w:sz w:val="24"/>
          <w:szCs w:val="24"/>
        </w:rPr>
        <w:t xml:space="preserve">k </w:t>
      </w:r>
      <w:r w:rsidRPr="0041258A">
        <w:rPr>
          <w:rFonts w:ascii="Arial" w:hAnsi="Arial" w:cs="Arial"/>
          <w:sz w:val="24"/>
          <w:szCs w:val="24"/>
        </w:rPr>
        <w:t>řešení sociálních důsledků uzavírky uranového dolu Rožná v Dolní Rožínce.</w:t>
      </w:r>
      <w:r w:rsidR="00556F7F">
        <w:rPr>
          <w:rFonts w:ascii="Arial" w:hAnsi="Arial" w:cs="Arial"/>
          <w:sz w:val="24"/>
          <w:szCs w:val="24"/>
        </w:rPr>
        <w:t xml:space="preserve"> Tímto usnesením</w:t>
      </w:r>
      <w:r w:rsidR="009414FB" w:rsidRPr="009414FB">
        <w:rPr>
          <w:rFonts w:ascii="Arial" w:hAnsi="Arial" w:cs="Arial"/>
          <w:sz w:val="24"/>
          <w:szCs w:val="24"/>
        </w:rPr>
        <w:t xml:space="preserve"> bylo vládou schváleno pokračování výstavby a příprav provozu PVP Bukov pro potřeby přípravy hlubinného úložiště a současně </w:t>
      </w:r>
      <w:r w:rsidR="00556F7F">
        <w:rPr>
          <w:rFonts w:ascii="Arial" w:hAnsi="Arial" w:cs="Arial"/>
          <w:sz w:val="24"/>
          <w:szCs w:val="24"/>
        </w:rPr>
        <w:t xml:space="preserve">vláda </w:t>
      </w:r>
      <w:r w:rsidR="009414FB" w:rsidRPr="009414FB">
        <w:rPr>
          <w:rFonts w:ascii="Arial" w:hAnsi="Arial" w:cs="Arial"/>
          <w:sz w:val="24"/>
          <w:szCs w:val="24"/>
        </w:rPr>
        <w:t xml:space="preserve">uložila ministru průmyslu a obchodu zajistit </w:t>
      </w:r>
      <w:r w:rsidR="00556F7F">
        <w:rPr>
          <w:rFonts w:ascii="Arial" w:hAnsi="Arial" w:cs="Arial"/>
          <w:sz w:val="24"/>
          <w:szCs w:val="24"/>
        </w:rPr>
        <w:t>v</w:t>
      </w:r>
      <w:r w:rsidRPr="0041258A">
        <w:rPr>
          <w:rFonts w:ascii="Arial" w:hAnsi="Arial" w:cs="Arial"/>
          <w:sz w:val="24"/>
          <w:szCs w:val="24"/>
        </w:rPr>
        <w:t>ypracování technicko-ekonomické studie realizace výzkumného programu PVP Bukov s důrazem na vhodnost lokality Bukov pro výzkumnou činnost, včetně srovnání geologických vlastností lokality se zvažovanými lokalitami hlubinného uložiště. S</w:t>
      </w:r>
      <w:r w:rsidR="009102AF">
        <w:rPr>
          <w:rFonts w:ascii="Arial" w:hAnsi="Arial" w:cs="Arial"/>
          <w:sz w:val="24"/>
          <w:szCs w:val="24"/>
        </w:rPr>
        <w:t>Ú</w:t>
      </w:r>
      <w:r w:rsidRPr="0041258A">
        <w:rPr>
          <w:rFonts w:ascii="Arial" w:hAnsi="Arial" w:cs="Arial"/>
          <w:sz w:val="24"/>
          <w:szCs w:val="24"/>
        </w:rPr>
        <w:t>JB se do 3 měsíců od dodání studie vyjádří k</w:t>
      </w:r>
      <w:r w:rsidR="00704762">
        <w:rPr>
          <w:rFonts w:ascii="Arial" w:hAnsi="Arial" w:cs="Arial"/>
          <w:sz w:val="24"/>
          <w:szCs w:val="24"/>
        </w:rPr>
        <w:t> </w:t>
      </w:r>
      <w:r w:rsidRPr="0041258A">
        <w:rPr>
          <w:rFonts w:ascii="Arial" w:hAnsi="Arial" w:cs="Arial"/>
          <w:sz w:val="24"/>
          <w:szCs w:val="24"/>
        </w:rPr>
        <w:t>dalšímu postupu na PVP Bukov od roku 2017.</w:t>
      </w:r>
      <w:r w:rsidR="00556F7F">
        <w:rPr>
          <w:rFonts w:ascii="Arial" w:hAnsi="Arial" w:cs="Arial"/>
          <w:sz w:val="24"/>
          <w:szCs w:val="24"/>
        </w:rPr>
        <w:t xml:space="preserve"> </w:t>
      </w:r>
      <w:r w:rsidRPr="0041258A">
        <w:rPr>
          <w:rFonts w:ascii="Arial" w:hAnsi="Arial" w:cs="Arial"/>
          <w:sz w:val="24"/>
          <w:szCs w:val="24"/>
        </w:rPr>
        <w:t>Termín vypracování technicko-ekonomické studie byl stanoven 31. května 2016.</w:t>
      </w:r>
      <w:r w:rsidR="00556F7F">
        <w:rPr>
          <w:rFonts w:ascii="Arial" w:hAnsi="Arial" w:cs="Arial"/>
          <w:sz w:val="24"/>
          <w:szCs w:val="24"/>
        </w:rPr>
        <w:t xml:space="preserve"> </w:t>
      </w:r>
      <w:r w:rsidRPr="0041258A">
        <w:rPr>
          <w:rFonts w:ascii="Arial" w:hAnsi="Arial" w:cs="Arial"/>
          <w:sz w:val="24"/>
          <w:szCs w:val="24"/>
        </w:rPr>
        <w:t>Studie realizace výzkumného programu PVP Bukov byla S</w:t>
      </w:r>
      <w:r w:rsidR="00896259">
        <w:rPr>
          <w:rFonts w:ascii="Arial" w:hAnsi="Arial" w:cs="Arial"/>
          <w:sz w:val="24"/>
          <w:szCs w:val="24"/>
        </w:rPr>
        <w:t>právou</w:t>
      </w:r>
      <w:r w:rsidRPr="0041258A">
        <w:rPr>
          <w:rFonts w:ascii="Arial" w:hAnsi="Arial" w:cs="Arial"/>
          <w:sz w:val="24"/>
          <w:szCs w:val="24"/>
        </w:rPr>
        <w:t xml:space="preserve"> zpracována a předložena MPO a SÚJB ke stanovisku. </w:t>
      </w:r>
      <w:r w:rsidR="00EB22FD">
        <w:rPr>
          <w:rFonts w:ascii="Arial" w:hAnsi="Arial" w:cs="Arial"/>
          <w:sz w:val="24"/>
          <w:szCs w:val="24"/>
        </w:rPr>
        <w:t>Výzkumným činnostem</w:t>
      </w:r>
      <w:r>
        <w:rPr>
          <w:rFonts w:ascii="Arial" w:hAnsi="Arial" w:cs="Arial"/>
          <w:sz w:val="24"/>
          <w:szCs w:val="24"/>
        </w:rPr>
        <w:t xml:space="preserve"> na PVP Bukov je věnována kapitola </w:t>
      </w:r>
      <w:r w:rsidR="00C77901">
        <w:rPr>
          <w:rFonts w:ascii="Arial" w:hAnsi="Arial" w:cs="Arial"/>
          <w:sz w:val="24"/>
          <w:szCs w:val="24"/>
        </w:rPr>
        <w:t xml:space="preserve">3.3 </w:t>
      </w:r>
      <w:r>
        <w:rPr>
          <w:rFonts w:ascii="Arial" w:hAnsi="Arial" w:cs="Arial"/>
          <w:sz w:val="24"/>
          <w:szCs w:val="24"/>
        </w:rPr>
        <w:t>tohoto materiálu</w:t>
      </w:r>
      <w:r w:rsidR="00C77901">
        <w:rPr>
          <w:rFonts w:ascii="Arial" w:hAnsi="Arial" w:cs="Arial"/>
          <w:sz w:val="24"/>
          <w:szCs w:val="24"/>
        </w:rPr>
        <w:t>, další materiály</w:t>
      </w:r>
      <w:r w:rsidR="00EB22FD">
        <w:rPr>
          <w:rFonts w:ascii="Arial" w:hAnsi="Arial" w:cs="Arial"/>
          <w:sz w:val="24"/>
          <w:szCs w:val="24"/>
        </w:rPr>
        <w:t xml:space="preserve"> </w:t>
      </w:r>
      <w:r w:rsidR="00C77901">
        <w:rPr>
          <w:rFonts w:ascii="Arial" w:hAnsi="Arial" w:cs="Arial"/>
          <w:sz w:val="24"/>
          <w:szCs w:val="24"/>
        </w:rPr>
        <w:t>jsou předkládány k projednání v Radě Správy</w:t>
      </w:r>
      <w:r>
        <w:rPr>
          <w:rFonts w:ascii="Arial" w:hAnsi="Arial" w:cs="Arial"/>
          <w:sz w:val="24"/>
          <w:szCs w:val="24"/>
        </w:rPr>
        <w:t>.</w:t>
      </w:r>
    </w:p>
    <w:p w:rsidR="00DA0B00" w:rsidRPr="002E33C8" w:rsidRDefault="00DA0B00" w:rsidP="00DA0B00">
      <w:pPr>
        <w:pStyle w:val="Nadpis1"/>
        <w:rPr>
          <w:rFonts w:ascii="Arial" w:hAnsi="Arial" w:cs="Arial"/>
        </w:rPr>
      </w:pPr>
      <w:bookmarkStart w:id="117" w:name="_Toc520184558"/>
      <w:bookmarkStart w:id="118" w:name="_Toc175555897"/>
      <w:bookmarkStart w:id="119" w:name="_Toc453575866"/>
      <w:r w:rsidRPr="002E33C8">
        <w:rPr>
          <w:rFonts w:ascii="Arial" w:hAnsi="Arial" w:cs="Arial"/>
        </w:rPr>
        <w:t>Tříletý plán činnosti</w:t>
      </w:r>
      <w:bookmarkEnd w:id="117"/>
      <w:bookmarkEnd w:id="118"/>
      <w:bookmarkEnd w:id="119"/>
    </w:p>
    <w:p w:rsidR="00DA0B00" w:rsidRPr="002E33C8" w:rsidRDefault="00DA0B00" w:rsidP="00DA0B00">
      <w:pPr>
        <w:rPr>
          <w:rFonts w:ascii="Arial" w:hAnsi="Arial" w:cs="Arial"/>
          <w:sz w:val="20"/>
          <w:szCs w:val="20"/>
        </w:rPr>
      </w:pPr>
    </w:p>
    <w:p w:rsidR="00DA0B00" w:rsidRPr="002E33C8" w:rsidRDefault="00DA0B00" w:rsidP="00DA0B00">
      <w:pPr>
        <w:pStyle w:val="NormlnNormlnA0"/>
        <w:spacing w:after="120"/>
        <w:ind w:firstLine="709"/>
        <w:rPr>
          <w:rFonts w:ascii="Arial" w:hAnsi="Arial" w:cs="Arial"/>
        </w:rPr>
      </w:pPr>
      <w:r w:rsidRPr="002E33C8">
        <w:rPr>
          <w:rFonts w:ascii="Arial" w:hAnsi="Arial" w:cs="Arial"/>
        </w:rPr>
        <w:t>Plán na roky 201</w:t>
      </w:r>
      <w:r>
        <w:rPr>
          <w:rFonts w:ascii="Arial" w:hAnsi="Arial" w:cs="Arial"/>
        </w:rPr>
        <w:t>7</w:t>
      </w:r>
      <w:r w:rsidRPr="002E33C8">
        <w:rPr>
          <w:rFonts w:ascii="Arial" w:hAnsi="Arial" w:cs="Arial"/>
        </w:rPr>
        <w:t xml:space="preserve"> až 201</w:t>
      </w:r>
      <w:r>
        <w:rPr>
          <w:rFonts w:ascii="Arial" w:hAnsi="Arial" w:cs="Arial"/>
        </w:rPr>
        <w:t>9</w:t>
      </w:r>
      <w:r w:rsidRPr="002E33C8">
        <w:rPr>
          <w:rFonts w:ascii="Arial" w:hAnsi="Arial" w:cs="Arial"/>
        </w:rPr>
        <w:t xml:space="preserve"> vychází ze současné situace v provozu úložišť, která je uvedena v textu předchozích kapitol a z dlouhodobého plánu činnosti uvedeného v kapitole 9. V této kapitole uvádíme souhrnnou informaci a</w:t>
      </w:r>
      <w:r>
        <w:rPr>
          <w:rFonts w:ascii="Arial" w:hAnsi="Arial" w:cs="Arial"/>
        </w:rPr>
        <w:t> </w:t>
      </w:r>
      <w:r w:rsidRPr="002E33C8">
        <w:rPr>
          <w:rFonts w:ascii="Arial" w:hAnsi="Arial" w:cs="Arial"/>
        </w:rPr>
        <w:t>předpokládané příjmy a výdaje pro roky 201</w:t>
      </w:r>
      <w:r>
        <w:rPr>
          <w:rFonts w:ascii="Arial" w:hAnsi="Arial" w:cs="Arial"/>
        </w:rPr>
        <w:t>7</w:t>
      </w:r>
      <w:r w:rsidRPr="002E33C8">
        <w:rPr>
          <w:rFonts w:ascii="Arial" w:hAnsi="Arial" w:cs="Arial"/>
        </w:rPr>
        <w:t xml:space="preserve"> až 201</w:t>
      </w:r>
      <w:r>
        <w:rPr>
          <w:rFonts w:ascii="Arial" w:hAnsi="Arial" w:cs="Arial"/>
        </w:rPr>
        <w:t>9</w:t>
      </w:r>
      <w:r w:rsidRPr="002E33C8">
        <w:rPr>
          <w:rFonts w:ascii="Arial" w:hAnsi="Arial" w:cs="Arial"/>
        </w:rPr>
        <w:t>.</w:t>
      </w:r>
    </w:p>
    <w:p w:rsidR="00DA0B00" w:rsidRPr="002E33C8" w:rsidRDefault="00DA0B00" w:rsidP="00DA0B00">
      <w:pPr>
        <w:pStyle w:val="Nadpis2"/>
        <w:rPr>
          <w:rFonts w:ascii="Arial" w:hAnsi="Arial" w:cs="Arial"/>
        </w:rPr>
      </w:pPr>
      <w:bookmarkStart w:id="120" w:name="_Toc520184559"/>
      <w:bookmarkStart w:id="121" w:name="_Toc175555898"/>
      <w:bookmarkStart w:id="122" w:name="_Toc453575867"/>
      <w:bookmarkStart w:id="123" w:name="_Toc432928767"/>
      <w:bookmarkStart w:id="124" w:name="_Toc432928831"/>
      <w:bookmarkStart w:id="125" w:name="_Toc432928956"/>
      <w:bookmarkStart w:id="126" w:name="_Toc432987602"/>
      <w:r w:rsidRPr="002E33C8">
        <w:rPr>
          <w:rFonts w:ascii="Arial" w:hAnsi="Arial" w:cs="Arial"/>
        </w:rPr>
        <w:t>Ukládání N</w:t>
      </w:r>
      <w:r>
        <w:rPr>
          <w:rFonts w:ascii="Arial" w:hAnsi="Arial" w:cs="Arial"/>
        </w:rPr>
        <w:t>SR</w:t>
      </w:r>
      <w:r w:rsidRPr="002E33C8">
        <w:rPr>
          <w:rFonts w:ascii="Arial" w:hAnsi="Arial" w:cs="Arial"/>
        </w:rPr>
        <w:t>AO</w:t>
      </w:r>
      <w:bookmarkEnd w:id="120"/>
      <w:bookmarkEnd w:id="121"/>
      <w:bookmarkEnd w:id="122"/>
    </w:p>
    <w:p w:rsidR="00DA0B00" w:rsidRPr="002E33C8" w:rsidRDefault="00DA0B00" w:rsidP="00DA0B00">
      <w:pPr>
        <w:pStyle w:val="Nadpis3"/>
        <w:keepNext w:val="0"/>
        <w:rPr>
          <w:rFonts w:ascii="Arial" w:hAnsi="Arial" w:cs="Arial"/>
        </w:rPr>
      </w:pPr>
      <w:bookmarkStart w:id="127" w:name="_Toc520184560"/>
      <w:bookmarkStart w:id="128" w:name="_Toc175555899"/>
      <w:bookmarkStart w:id="129" w:name="_Toc453575868"/>
      <w:r w:rsidRPr="002E33C8">
        <w:rPr>
          <w:rFonts w:ascii="Arial" w:hAnsi="Arial" w:cs="Arial"/>
        </w:rPr>
        <w:t>Úložiště radioaktivních odpadů Dukovany</w:t>
      </w:r>
      <w:bookmarkEnd w:id="123"/>
      <w:bookmarkEnd w:id="124"/>
      <w:bookmarkEnd w:id="125"/>
      <w:bookmarkEnd w:id="126"/>
      <w:bookmarkEnd w:id="127"/>
      <w:bookmarkEnd w:id="128"/>
      <w:bookmarkEnd w:id="129"/>
    </w:p>
    <w:p w:rsidR="00DA0B00" w:rsidRPr="002E33C8" w:rsidRDefault="00DA0B00" w:rsidP="00DA0B00">
      <w:pPr>
        <w:pStyle w:val="Normln0"/>
        <w:numPr>
          <w:ilvl w:val="12"/>
          <w:numId w:val="0"/>
        </w:numPr>
        <w:spacing w:before="120"/>
        <w:jc w:val="both"/>
        <w:rPr>
          <w:rFonts w:ascii="Arial" w:hAnsi="Arial" w:cs="Arial"/>
          <w:sz w:val="24"/>
          <w:szCs w:val="24"/>
        </w:rPr>
      </w:pPr>
      <w:r w:rsidRPr="002E33C8">
        <w:rPr>
          <w:rFonts w:ascii="Arial" w:hAnsi="Arial" w:cs="Arial"/>
          <w:sz w:val="24"/>
          <w:szCs w:val="24"/>
        </w:rPr>
        <w:tab/>
        <w:t>Provoz úložiště bude zajišťován dodavatelsky společností ČEZ, a. s. Činnost Správy se bude soustřeďovat zejména na přejímky radioaktivních odpadů do úložiště (plnění podmínek přijatelnosti) a na plánování oprav a údržby úložiště tak, aby trvale splňovalo požadavky příslušných norem a vyhlášek. Provoz úložiště je dlouhodobě stabilní a bezpečný. V nadcházejících letech Správa nepředpokládá větší rozsah oprav či rekonstrukcí. Náklady na zajištění bezpečného provozu úložiště Dukovany včetně dílčích rekonstrukcí jsou předpokládány v rozsahu cca 22 mil. Kč ročně.</w:t>
      </w:r>
    </w:p>
    <w:p w:rsidR="00DA0B00" w:rsidRPr="002E33C8" w:rsidRDefault="00DA0B00" w:rsidP="00DA0B00">
      <w:pPr>
        <w:pStyle w:val="Normln0"/>
        <w:numPr>
          <w:ilvl w:val="12"/>
          <w:numId w:val="0"/>
        </w:numPr>
        <w:jc w:val="both"/>
        <w:rPr>
          <w:rFonts w:ascii="Arial" w:hAnsi="Arial" w:cs="Arial"/>
          <w:sz w:val="24"/>
          <w:szCs w:val="24"/>
        </w:rPr>
      </w:pPr>
    </w:p>
    <w:p w:rsidR="00DA0B00" w:rsidRPr="002E33C8" w:rsidRDefault="00DA0B00" w:rsidP="00DA0B00">
      <w:pPr>
        <w:pStyle w:val="Nadpis3"/>
        <w:rPr>
          <w:rFonts w:ascii="Arial" w:hAnsi="Arial" w:cs="Arial"/>
        </w:rPr>
      </w:pPr>
      <w:bookmarkStart w:id="130" w:name="_Toc432928769"/>
      <w:bookmarkStart w:id="131" w:name="_Toc432928833"/>
      <w:bookmarkStart w:id="132" w:name="_Toc432928958"/>
      <w:bookmarkStart w:id="133" w:name="_Toc432987604"/>
      <w:bookmarkStart w:id="134" w:name="_Toc520184561"/>
      <w:bookmarkStart w:id="135" w:name="_Toc175555900"/>
      <w:bookmarkStart w:id="136" w:name="_Toc453575869"/>
      <w:r w:rsidRPr="002E33C8">
        <w:rPr>
          <w:rFonts w:ascii="Arial" w:hAnsi="Arial" w:cs="Arial"/>
        </w:rPr>
        <w:t>Úložiště radioaktivních odpadů Richard a Bratrství</w:t>
      </w:r>
      <w:bookmarkEnd w:id="130"/>
      <w:bookmarkEnd w:id="131"/>
      <w:bookmarkEnd w:id="132"/>
      <w:bookmarkEnd w:id="133"/>
      <w:bookmarkEnd w:id="134"/>
      <w:bookmarkEnd w:id="135"/>
      <w:bookmarkEnd w:id="136"/>
    </w:p>
    <w:p w:rsidR="00DA0B00" w:rsidRPr="002E33C8" w:rsidRDefault="00DA0B00" w:rsidP="00DA0B00">
      <w:pPr>
        <w:pStyle w:val="Normln0"/>
        <w:numPr>
          <w:ilvl w:val="12"/>
          <w:numId w:val="0"/>
        </w:numPr>
        <w:spacing w:before="120"/>
        <w:ind w:firstLine="709"/>
        <w:jc w:val="both"/>
        <w:rPr>
          <w:rFonts w:ascii="Arial" w:hAnsi="Arial" w:cs="Arial"/>
          <w:sz w:val="24"/>
          <w:szCs w:val="24"/>
        </w:rPr>
      </w:pPr>
      <w:r w:rsidRPr="002E33C8">
        <w:rPr>
          <w:rFonts w:ascii="Arial" w:hAnsi="Arial" w:cs="Arial"/>
          <w:sz w:val="24"/>
          <w:szCs w:val="24"/>
        </w:rPr>
        <w:t>Provoz úložišť bude zajišťován jak vlastními silami Správy, tak dodavatelsky. Budou pokračovat činnosti nezbytné k zajištění bezpečného provozu úložišť. Ve vztahu k platné báňské legislativě a prováděnému geotechnickému sledování a</w:t>
      </w:r>
      <w:r>
        <w:rPr>
          <w:rFonts w:ascii="Arial" w:hAnsi="Arial" w:cs="Arial"/>
          <w:sz w:val="24"/>
          <w:szCs w:val="24"/>
        </w:rPr>
        <w:t> </w:t>
      </w:r>
      <w:r w:rsidRPr="002E33C8">
        <w:rPr>
          <w:rFonts w:ascii="Arial" w:hAnsi="Arial" w:cs="Arial"/>
          <w:sz w:val="24"/>
          <w:szCs w:val="24"/>
        </w:rPr>
        <w:t>měření se neočekává vznik závažnějších obtíží při provozu těchto podzemních děl. V případě úložišť Richard a Bratrství budou probíhat projektové, přípravné a</w:t>
      </w:r>
      <w:r>
        <w:rPr>
          <w:rFonts w:ascii="Arial" w:hAnsi="Arial" w:cs="Arial"/>
          <w:sz w:val="24"/>
          <w:szCs w:val="24"/>
        </w:rPr>
        <w:t> </w:t>
      </w:r>
      <w:r w:rsidRPr="002E33C8">
        <w:rPr>
          <w:rFonts w:ascii="Arial" w:hAnsi="Arial" w:cs="Arial"/>
          <w:sz w:val="24"/>
          <w:szCs w:val="24"/>
        </w:rPr>
        <w:t xml:space="preserve">realizační práce na konečném uzavírání jednotlivých zaplněných komor úložišť. Náklady na zajištění běžného provozu úložišť včetně úprav ukládacích komor jsou předpokládány ve výši do 19 mil. Kč ročně, náklady na </w:t>
      </w:r>
      <w:r>
        <w:rPr>
          <w:rFonts w:ascii="Arial" w:hAnsi="Arial" w:cs="Arial"/>
          <w:sz w:val="24"/>
          <w:szCs w:val="24"/>
        </w:rPr>
        <w:t>provedení</w:t>
      </w:r>
      <w:r w:rsidRPr="002E33C8">
        <w:rPr>
          <w:rFonts w:ascii="Arial" w:hAnsi="Arial" w:cs="Arial"/>
          <w:sz w:val="24"/>
          <w:szCs w:val="24"/>
        </w:rPr>
        <w:t xml:space="preserve"> rekonstrukc</w:t>
      </w:r>
      <w:r>
        <w:rPr>
          <w:rFonts w:ascii="Arial" w:hAnsi="Arial" w:cs="Arial"/>
          <w:sz w:val="24"/>
          <w:szCs w:val="24"/>
        </w:rPr>
        <w:t>e</w:t>
      </w:r>
      <w:r w:rsidRPr="002E33C8">
        <w:rPr>
          <w:rFonts w:ascii="Arial" w:hAnsi="Arial" w:cs="Arial"/>
          <w:sz w:val="24"/>
          <w:szCs w:val="24"/>
        </w:rPr>
        <w:t xml:space="preserve"> </w:t>
      </w:r>
      <w:r>
        <w:rPr>
          <w:rFonts w:ascii="Arial" w:hAnsi="Arial" w:cs="Arial"/>
          <w:sz w:val="24"/>
          <w:szCs w:val="24"/>
        </w:rPr>
        <w:t>ÚRAO Richard jsou odhadovány na více než 50 mil. Kč a jejich výše bude upřesněna po dokončení příslušné studie</w:t>
      </w:r>
      <w:r w:rsidRPr="002E33C8">
        <w:rPr>
          <w:rFonts w:ascii="Arial" w:hAnsi="Arial" w:cs="Arial"/>
          <w:sz w:val="24"/>
          <w:szCs w:val="24"/>
        </w:rPr>
        <w:t xml:space="preserve">. </w:t>
      </w:r>
    </w:p>
    <w:p w:rsidR="00DA0B00" w:rsidRPr="002E33C8" w:rsidRDefault="00DA0B00" w:rsidP="00DA0B00">
      <w:pPr>
        <w:pStyle w:val="Normln0"/>
        <w:numPr>
          <w:ilvl w:val="12"/>
          <w:numId w:val="0"/>
        </w:numPr>
        <w:ind w:firstLine="709"/>
        <w:jc w:val="both"/>
        <w:rPr>
          <w:rFonts w:ascii="Arial" w:hAnsi="Arial" w:cs="Arial"/>
          <w:sz w:val="24"/>
          <w:szCs w:val="24"/>
        </w:rPr>
      </w:pPr>
      <w:r w:rsidRPr="002E33C8">
        <w:rPr>
          <w:rFonts w:ascii="Arial" w:hAnsi="Arial" w:cs="Arial"/>
          <w:sz w:val="24"/>
          <w:szCs w:val="24"/>
        </w:rPr>
        <w:t xml:space="preserve">Dále budou zahájeny činnosti k zabezpečení ukládání RAO i po vyčerpání </w:t>
      </w:r>
      <w:r w:rsidRPr="006D009D">
        <w:rPr>
          <w:rFonts w:ascii="Arial" w:hAnsi="Arial" w:cs="Arial"/>
          <w:sz w:val="24"/>
          <w:szCs w:val="24"/>
        </w:rPr>
        <w:t>současných kapacit úložišť Bratrství a Richard. Jedná se o výzkumné a projektové činnosti, které umožní získat povolení SÚJB nezbytná k rekonstrukci ÚRAO Richard. Rovněž budou zahájeny činnosti vedoucí k získání povolení SÚJB pro uzavření</w:t>
      </w:r>
      <w:r w:rsidRPr="002E33C8">
        <w:rPr>
          <w:rFonts w:ascii="Arial" w:hAnsi="Arial" w:cs="Arial"/>
          <w:sz w:val="24"/>
          <w:szCs w:val="24"/>
        </w:rPr>
        <w:t xml:space="preserve"> ÚRAO Bratrství kolem roku 2020. S tím budou spojeny zvýšené nároky na rozpočet.</w:t>
      </w:r>
    </w:p>
    <w:p w:rsidR="00DA0B00" w:rsidRPr="002E33C8" w:rsidRDefault="00DA0B00" w:rsidP="00DA0B00">
      <w:pPr>
        <w:pStyle w:val="Normln0"/>
        <w:numPr>
          <w:ilvl w:val="12"/>
          <w:numId w:val="0"/>
        </w:numPr>
        <w:jc w:val="both"/>
        <w:rPr>
          <w:rFonts w:ascii="Arial" w:hAnsi="Arial" w:cs="Arial"/>
          <w:sz w:val="24"/>
          <w:szCs w:val="24"/>
        </w:rPr>
      </w:pPr>
    </w:p>
    <w:p w:rsidR="00DA0B00" w:rsidRPr="002E33C8" w:rsidRDefault="00DA0B00" w:rsidP="00DA0B00">
      <w:pPr>
        <w:pStyle w:val="Nadpis2"/>
        <w:rPr>
          <w:rFonts w:ascii="Arial" w:hAnsi="Arial" w:cs="Arial"/>
        </w:rPr>
      </w:pPr>
      <w:bookmarkStart w:id="137" w:name="_Toc520184562"/>
      <w:bookmarkStart w:id="138" w:name="_Toc175555901"/>
      <w:bookmarkStart w:id="139" w:name="_Toc453575870"/>
      <w:bookmarkStart w:id="140" w:name="_Toc432928768"/>
      <w:bookmarkStart w:id="141" w:name="_Toc432928832"/>
      <w:bookmarkStart w:id="142" w:name="_Toc432928957"/>
      <w:bookmarkStart w:id="143" w:name="_Toc432987603"/>
      <w:r w:rsidRPr="002E33C8">
        <w:rPr>
          <w:rFonts w:ascii="Arial" w:hAnsi="Arial" w:cs="Arial"/>
        </w:rPr>
        <w:t>Ukládání VAO/VJP</w:t>
      </w:r>
      <w:bookmarkEnd w:id="137"/>
      <w:bookmarkEnd w:id="138"/>
      <w:bookmarkEnd w:id="139"/>
    </w:p>
    <w:bookmarkEnd w:id="140"/>
    <w:bookmarkEnd w:id="141"/>
    <w:bookmarkEnd w:id="142"/>
    <w:bookmarkEnd w:id="143"/>
    <w:p w:rsidR="00DA0B00" w:rsidRPr="002E33C8" w:rsidRDefault="00DA0B00" w:rsidP="00DA0B00">
      <w:pPr>
        <w:pStyle w:val="Normln0"/>
        <w:numPr>
          <w:ilvl w:val="12"/>
          <w:numId w:val="0"/>
        </w:numPr>
        <w:ind w:firstLine="709"/>
        <w:jc w:val="both"/>
        <w:rPr>
          <w:rFonts w:ascii="Arial" w:hAnsi="Arial" w:cs="Arial"/>
          <w:sz w:val="24"/>
          <w:szCs w:val="24"/>
        </w:rPr>
      </w:pPr>
    </w:p>
    <w:p w:rsidR="00DA0B00" w:rsidRPr="002E33C8" w:rsidRDefault="00DA0B00" w:rsidP="00DA0B00">
      <w:pPr>
        <w:pStyle w:val="Normln0"/>
        <w:numPr>
          <w:ilvl w:val="12"/>
          <w:numId w:val="0"/>
        </w:numPr>
        <w:ind w:firstLine="709"/>
        <w:jc w:val="both"/>
        <w:rPr>
          <w:rFonts w:ascii="Arial" w:hAnsi="Arial" w:cs="Arial"/>
          <w:sz w:val="24"/>
          <w:szCs w:val="24"/>
        </w:rPr>
      </w:pPr>
      <w:r w:rsidRPr="002E33C8">
        <w:rPr>
          <w:rFonts w:ascii="Arial" w:hAnsi="Arial" w:cs="Arial"/>
          <w:sz w:val="24"/>
          <w:szCs w:val="24"/>
        </w:rPr>
        <w:t>V oblasti geologických průzkumných prací pro podrobnější charakterizaci lokalit HÚ byly práce od roku 2005 pozastaveny vzhledem k převážně odmítavému postoji obyvatelstva k budoucí výstavbě HÚ. Práce budou obnoveny v lokalitách, kde Správa získá povolení k provádění průzkumu (průzkumné území). Geologické průzkumné práce zahrnují ověření hloubkového dosahu granitoidního tělesa, dálkový průzkum země, geologické mapování, plošný geofyzikální průzkum, plošnou geochemii, hydrogeologický monitoring, inženýrsko-geologické mapování a základní geotechnickou charakteristiku povrchové části horninového masivu, interpretační geofyzikální profily, vrtné práce a karotáž.</w:t>
      </w:r>
    </w:p>
    <w:p w:rsidR="00DA0B00" w:rsidRDefault="00DA0B00" w:rsidP="00DA0B00">
      <w:pPr>
        <w:pStyle w:val="Normln0"/>
        <w:numPr>
          <w:ilvl w:val="12"/>
          <w:numId w:val="0"/>
        </w:numPr>
        <w:ind w:firstLine="709"/>
        <w:jc w:val="both"/>
        <w:rPr>
          <w:rFonts w:ascii="Arial" w:hAnsi="Arial" w:cs="Arial"/>
          <w:sz w:val="24"/>
          <w:szCs w:val="24"/>
        </w:rPr>
      </w:pPr>
      <w:r w:rsidRPr="002E33C8">
        <w:rPr>
          <w:rFonts w:ascii="Arial" w:hAnsi="Arial" w:cs="Arial"/>
          <w:sz w:val="24"/>
          <w:szCs w:val="24"/>
        </w:rPr>
        <w:t>Cílem projektových a technických činností bude získání dalších informací o</w:t>
      </w:r>
      <w:r>
        <w:rPr>
          <w:rFonts w:ascii="Arial" w:hAnsi="Arial" w:cs="Arial"/>
          <w:sz w:val="24"/>
          <w:szCs w:val="24"/>
        </w:rPr>
        <w:t> </w:t>
      </w:r>
      <w:r w:rsidRPr="002E33C8">
        <w:rPr>
          <w:rFonts w:ascii="Arial" w:hAnsi="Arial" w:cs="Arial"/>
          <w:sz w:val="24"/>
          <w:szCs w:val="24"/>
        </w:rPr>
        <w:t xml:space="preserve">chování inženýrských bariér s cílem poskytnout podklady pro bližší specifikaci </w:t>
      </w:r>
      <w:r>
        <w:rPr>
          <w:rFonts w:ascii="Arial" w:hAnsi="Arial" w:cs="Arial"/>
          <w:sz w:val="24"/>
          <w:szCs w:val="24"/>
        </w:rPr>
        <w:t>a</w:t>
      </w:r>
      <w:r w:rsidR="00483B2B">
        <w:rPr>
          <w:rFonts w:ascii="Arial" w:hAnsi="Arial" w:cs="Arial"/>
          <w:sz w:val="24"/>
          <w:szCs w:val="24"/>
        </w:rPr>
        <w:t> </w:t>
      </w:r>
      <w:r>
        <w:rPr>
          <w:rFonts w:ascii="Arial" w:hAnsi="Arial" w:cs="Arial"/>
          <w:sz w:val="24"/>
          <w:szCs w:val="24"/>
        </w:rPr>
        <w:t>optimalizaci technického řešení úložného systému a souvisejících provozů</w:t>
      </w:r>
      <w:r w:rsidRPr="002E33C8">
        <w:rPr>
          <w:rFonts w:ascii="Arial" w:hAnsi="Arial" w:cs="Arial"/>
          <w:sz w:val="24"/>
          <w:szCs w:val="24"/>
        </w:rPr>
        <w:t xml:space="preserve">, jenž je koncepčně navržen referenčním projektem </w:t>
      </w:r>
      <w:r>
        <w:rPr>
          <w:rFonts w:ascii="Arial" w:hAnsi="Arial" w:cs="Arial"/>
          <w:sz w:val="24"/>
          <w:szCs w:val="24"/>
        </w:rPr>
        <w:t>HÚ a jeho aktualizací</w:t>
      </w:r>
      <w:r w:rsidRPr="002E33C8">
        <w:rPr>
          <w:rFonts w:ascii="Arial" w:hAnsi="Arial" w:cs="Arial"/>
          <w:sz w:val="24"/>
          <w:szCs w:val="24"/>
        </w:rPr>
        <w:t>.</w:t>
      </w:r>
      <w:r>
        <w:rPr>
          <w:rFonts w:ascii="Arial" w:hAnsi="Arial" w:cs="Arial"/>
          <w:sz w:val="24"/>
          <w:szCs w:val="24"/>
        </w:rPr>
        <w:t xml:space="preserve"> Výstupem bude návrh ukládacího obalového souboru, optimalizace technického řešení a </w:t>
      </w:r>
      <w:r w:rsidRPr="00B84F38">
        <w:rPr>
          <w:rFonts w:ascii="Arial" w:hAnsi="Arial" w:cs="Arial"/>
          <w:sz w:val="24"/>
          <w:szCs w:val="24"/>
        </w:rPr>
        <w:t xml:space="preserve">studie proveditelnosti a studie vlivu na životní prostředí a obyvatelstvo v uvažovaných lokalitách, které budou podkladem pro zúžení lokalit </w:t>
      </w:r>
      <w:r>
        <w:rPr>
          <w:rFonts w:ascii="Arial" w:hAnsi="Arial" w:cs="Arial"/>
          <w:sz w:val="24"/>
          <w:szCs w:val="24"/>
        </w:rPr>
        <w:t xml:space="preserve">počtu </w:t>
      </w:r>
      <w:r w:rsidRPr="00B84F38">
        <w:rPr>
          <w:rFonts w:ascii="Arial" w:hAnsi="Arial" w:cs="Arial"/>
          <w:sz w:val="24"/>
          <w:szCs w:val="24"/>
        </w:rPr>
        <w:t>a následně při výběru dvou kandidátních lokalit.</w:t>
      </w:r>
      <w:r>
        <w:rPr>
          <w:rFonts w:ascii="Arial" w:hAnsi="Arial" w:cs="Arial"/>
          <w:sz w:val="22"/>
        </w:rPr>
        <w:t xml:space="preserve"> </w:t>
      </w:r>
    </w:p>
    <w:p w:rsidR="00DA0B00" w:rsidRPr="00B84F38" w:rsidRDefault="00DA0B00" w:rsidP="00DA0B00">
      <w:pPr>
        <w:pStyle w:val="Normln0"/>
        <w:numPr>
          <w:ilvl w:val="12"/>
          <w:numId w:val="0"/>
        </w:numPr>
        <w:ind w:firstLine="709"/>
        <w:jc w:val="both"/>
        <w:rPr>
          <w:rFonts w:ascii="Arial" w:hAnsi="Arial" w:cs="Arial"/>
          <w:sz w:val="24"/>
          <w:szCs w:val="24"/>
        </w:rPr>
      </w:pPr>
      <w:r w:rsidRPr="002E33C8">
        <w:rPr>
          <w:rFonts w:ascii="Arial" w:hAnsi="Arial" w:cs="Arial"/>
          <w:sz w:val="24"/>
          <w:szCs w:val="24"/>
        </w:rPr>
        <w:t xml:space="preserve">Dále budou probíhat práce na přípravě bezpečnostních rozborů a analýz včetně hodnocení proveditelnosti </w:t>
      </w:r>
      <w:r>
        <w:rPr>
          <w:rFonts w:ascii="Arial" w:hAnsi="Arial" w:cs="Arial"/>
          <w:sz w:val="24"/>
          <w:szCs w:val="24"/>
        </w:rPr>
        <w:t>HÚ</w:t>
      </w:r>
      <w:r w:rsidRPr="002E33C8">
        <w:rPr>
          <w:rFonts w:ascii="Arial" w:hAnsi="Arial" w:cs="Arial"/>
          <w:sz w:val="24"/>
          <w:szCs w:val="24"/>
        </w:rPr>
        <w:t xml:space="preserve">. </w:t>
      </w:r>
      <w:r w:rsidRPr="00B84F38">
        <w:rPr>
          <w:rFonts w:ascii="Arial" w:hAnsi="Arial" w:cs="Arial"/>
          <w:sz w:val="24"/>
          <w:szCs w:val="24"/>
        </w:rPr>
        <w:t xml:space="preserve">Budou připraveny podklady pro transparentní posouzení umístění </w:t>
      </w:r>
      <w:r>
        <w:rPr>
          <w:rFonts w:ascii="Arial" w:hAnsi="Arial" w:cs="Arial"/>
          <w:sz w:val="24"/>
          <w:szCs w:val="24"/>
        </w:rPr>
        <w:t>HÚ</w:t>
      </w:r>
      <w:r w:rsidRPr="00B84F38">
        <w:rPr>
          <w:rFonts w:ascii="Arial" w:hAnsi="Arial" w:cs="Arial"/>
          <w:sz w:val="24"/>
          <w:szCs w:val="24"/>
        </w:rPr>
        <w:t xml:space="preserve"> v potenciálních lokalitách z hlediska dlouhodobé bezpečnosti, což zahrnuje vytvoření 3D strukturně geologických, hydrogeologických modelů a geo-inženýrských popisných modelů pro všechny vybrané lokality. Tyto modely představují základ pro ohodnocení transportu radionuklidů přes horninové prostředí a vlastní bezpečnostní hodnocení umístění úložiště v potenciálních lokalitách. Informace získávané z přípravy těchto modelů umožní rovněž lépe orientovat geologický průzkum v lokalitách a zejména umístění hlubinných vrtů, se kterými se počítá v druhé etapě geologického průzkumu. Projekt poskytne rovněž informace potřebné pro upřesnění dat o vlastnostech VJP a RAO, dlouhodobé stabilitě inženýrských bariér a migračních parametrech horninového prostředí. </w:t>
      </w:r>
    </w:p>
    <w:p w:rsidR="00DA0B00" w:rsidRPr="002E33C8" w:rsidRDefault="00DA0B00" w:rsidP="00DA0B00">
      <w:pPr>
        <w:pStyle w:val="Normln0"/>
        <w:numPr>
          <w:ilvl w:val="12"/>
          <w:numId w:val="0"/>
        </w:numPr>
        <w:ind w:firstLine="709"/>
        <w:jc w:val="both"/>
        <w:rPr>
          <w:rFonts w:ascii="Arial" w:hAnsi="Arial" w:cs="Arial"/>
          <w:sz w:val="24"/>
          <w:szCs w:val="24"/>
        </w:rPr>
      </w:pPr>
      <w:r w:rsidRPr="002E33C8">
        <w:rPr>
          <w:rFonts w:ascii="Arial" w:hAnsi="Arial" w:cs="Arial"/>
          <w:sz w:val="24"/>
          <w:szCs w:val="24"/>
        </w:rPr>
        <w:t xml:space="preserve">V oblasti výzkumu a vývoje bude </w:t>
      </w:r>
      <w:r>
        <w:rPr>
          <w:rFonts w:ascii="Arial" w:hAnsi="Arial" w:cs="Arial"/>
          <w:sz w:val="24"/>
          <w:szCs w:val="24"/>
        </w:rPr>
        <w:t xml:space="preserve">rovněž </w:t>
      </w:r>
      <w:r w:rsidRPr="002E33C8">
        <w:rPr>
          <w:rFonts w:ascii="Arial" w:hAnsi="Arial" w:cs="Arial"/>
          <w:sz w:val="24"/>
          <w:szCs w:val="24"/>
        </w:rPr>
        <w:t>sledován vývoj nových technologií, popř. zavádění technologických postupů pro úpravu již existujících odpadů.</w:t>
      </w:r>
    </w:p>
    <w:p w:rsidR="00DA0B00" w:rsidRPr="002E33C8" w:rsidRDefault="00DA0B00" w:rsidP="00DA0B00">
      <w:pPr>
        <w:pStyle w:val="Normln0"/>
        <w:numPr>
          <w:ilvl w:val="12"/>
          <w:numId w:val="0"/>
        </w:numPr>
        <w:ind w:firstLine="709"/>
        <w:jc w:val="both"/>
        <w:rPr>
          <w:rFonts w:ascii="Arial" w:hAnsi="Arial" w:cs="Arial"/>
          <w:sz w:val="24"/>
          <w:szCs w:val="24"/>
        </w:rPr>
      </w:pPr>
      <w:r w:rsidRPr="002E33C8">
        <w:rPr>
          <w:rFonts w:ascii="Arial" w:hAnsi="Arial" w:cs="Arial"/>
          <w:sz w:val="24"/>
          <w:szCs w:val="24"/>
        </w:rPr>
        <w:t>Finanční prostředky potřebné pro realizaci geologických prací pro vyhledávání lokality se budou odvíjet od jejich postupu, rozpočet prací je uveden v příslušných prováděcích projektech.</w:t>
      </w:r>
    </w:p>
    <w:p w:rsidR="00DA0B00" w:rsidRPr="002E33C8" w:rsidRDefault="00DA0B00" w:rsidP="00DA0B00">
      <w:pPr>
        <w:pStyle w:val="NormlnNormlnA0"/>
        <w:rPr>
          <w:rFonts w:ascii="Arial" w:hAnsi="Arial" w:cs="Arial"/>
        </w:rPr>
      </w:pPr>
    </w:p>
    <w:p w:rsidR="00DA0B00" w:rsidRPr="002E33C8" w:rsidRDefault="00DA0B00" w:rsidP="00DA0B00">
      <w:pPr>
        <w:pStyle w:val="Nadpis2"/>
        <w:ind w:left="851" w:hanging="851"/>
        <w:rPr>
          <w:rFonts w:ascii="Arial" w:hAnsi="Arial" w:cs="Arial"/>
        </w:rPr>
      </w:pPr>
      <w:bookmarkStart w:id="144" w:name="_Toc520184563"/>
      <w:bookmarkStart w:id="145" w:name="_Toc175555902"/>
      <w:bookmarkStart w:id="146" w:name="_Toc453575871"/>
      <w:r w:rsidRPr="002E33C8">
        <w:rPr>
          <w:rFonts w:ascii="Arial" w:hAnsi="Arial" w:cs="Arial"/>
        </w:rPr>
        <w:t>Předpokládané příjmy jaderného účtu a výdaje Správy</w:t>
      </w:r>
      <w:r>
        <w:rPr>
          <w:rFonts w:ascii="Arial" w:hAnsi="Arial" w:cs="Arial"/>
        </w:rPr>
        <w:br/>
      </w:r>
      <w:r w:rsidRPr="002E33C8">
        <w:rPr>
          <w:rFonts w:ascii="Arial" w:hAnsi="Arial" w:cs="Arial"/>
        </w:rPr>
        <w:t>v letech 201</w:t>
      </w:r>
      <w:r>
        <w:rPr>
          <w:rFonts w:ascii="Arial" w:hAnsi="Arial" w:cs="Arial"/>
        </w:rPr>
        <w:t>7</w:t>
      </w:r>
      <w:r w:rsidRPr="002E33C8">
        <w:rPr>
          <w:rFonts w:ascii="Arial" w:hAnsi="Arial" w:cs="Arial"/>
        </w:rPr>
        <w:t xml:space="preserve"> – 201</w:t>
      </w:r>
      <w:bookmarkEnd w:id="144"/>
      <w:bookmarkEnd w:id="145"/>
      <w:r>
        <w:rPr>
          <w:rFonts w:ascii="Arial" w:hAnsi="Arial" w:cs="Arial"/>
        </w:rPr>
        <w:t>9</w:t>
      </w:r>
      <w:bookmarkEnd w:id="146"/>
    </w:p>
    <w:p w:rsidR="00DA0B00" w:rsidRPr="002E33C8" w:rsidRDefault="00DA0B00" w:rsidP="00DA0B00">
      <w:pPr>
        <w:pStyle w:val="Nadpis3"/>
        <w:rPr>
          <w:rFonts w:ascii="Arial" w:hAnsi="Arial" w:cs="Arial"/>
        </w:rPr>
      </w:pPr>
      <w:bookmarkStart w:id="147" w:name="_Toc175555903"/>
      <w:bookmarkStart w:id="148" w:name="_Toc453575872"/>
      <w:r w:rsidRPr="002E33C8">
        <w:rPr>
          <w:rFonts w:ascii="Arial" w:hAnsi="Arial" w:cs="Arial"/>
        </w:rPr>
        <w:t>Předpokládané příjmy jaderného účtu</w:t>
      </w:r>
      <w:bookmarkEnd w:id="147"/>
      <w:bookmarkEnd w:id="148"/>
    </w:p>
    <w:p w:rsidR="00DA0B00" w:rsidRPr="002E33C8" w:rsidRDefault="00DA0B00" w:rsidP="00DA0B00">
      <w:pPr>
        <w:rPr>
          <w:rFonts w:ascii="Arial" w:hAnsi="Arial" w:cs="Arial"/>
        </w:rPr>
      </w:pPr>
    </w:p>
    <w:p w:rsidR="00DA0B00" w:rsidRDefault="00DA0B00" w:rsidP="00DA0B00">
      <w:pPr>
        <w:pStyle w:val="Normln0"/>
        <w:spacing w:after="120"/>
        <w:ind w:firstLine="709"/>
        <w:jc w:val="both"/>
        <w:rPr>
          <w:rFonts w:ascii="Arial" w:hAnsi="Arial" w:cs="Arial"/>
          <w:sz w:val="24"/>
          <w:szCs w:val="24"/>
        </w:rPr>
      </w:pPr>
      <w:r w:rsidRPr="002E33C8">
        <w:rPr>
          <w:rFonts w:ascii="Arial" w:hAnsi="Arial" w:cs="Arial"/>
          <w:sz w:val="24"/>
          <w:szCs w:val="24"/>
        </w:rPr>
        <w:t>Činnosti Správy jsou financovány z prostředků jaderného účtu, který je součástí státních finančních aktiv. Příjmy jaderného účtu tvoří odvody společnosti ČEZ, a. s. a ostatních původců, stanovené nařízením vlády č. 416/2002 Sb., a</w:t>
      </w:r>
      <w:r>
        <w:rPr>
          <w:rFonts w:ascii="Arial" w:hAnsi="Arial" w:cs="Arial"/>
          <w:sz w:val="24"/>
          <w:szCs w:val="24"/>
        </w:rPr>
        <w:t> </w:t>
      </w:r>
      <w:r w:rsidRPr="002E33C8">
        <w:rPr>
          <w:rFonts w:ascii="Arial" w:hAnsi="Arial" w:cs="Arial"/>
          <w:sz w:val="24"/>
          <w:szCs w:val="24"/>
        </w:rPr>
        <w:t xml:space="preserve">výnosy z finančního investování prostředků jaderného účtu. Finanční investování prostředků jaderného účtu zajišťuje </w:t>
      </w:r>
      <w:r>
        <w:rPr>
          <w:rFonts w:ascii="Arial" w:hAnsi="Arial" w:cs="Arial"/>
          <w:sz w:val="24"/>
          <w:szCs w:val="24"/>
        </w:rPr>
        <w:t>Ministerstvo financí</w:t>
      </w:r>
      <w:r w:rsidRPr="002E33C8">
        <w:rPr>
          <w:rFonts w:ascii="Arial" w:hAnsi="Arial" w:cs="Arial"/>
          <w:sz w:val="24"/>
          <w:szCs w:val="24"/>
        </w:rPr>
        <w:t xml:space="preserve">. </w:t>
      </w:r>
    </w:p>
    <w:p w:rsidR="00DA0B00" w:rsidRPr="002E33C8" w:rsidRDefault="00DA0B00" w:rsidP="00DA0B00">
      <w:pPr>
        <w:pStyle w:val="Normln0"/>
        <w:spacing w:after="120"/>
        <w:ind w:firstLine="709"/>
        <w:jc w:val="both"/>
        <w:rPr>
          <w:rFonts w:ascii="Arial" w:hAnsi="Arial" w:cs="Arial"/>
          <w:sz w:val="24"/>
          <w:szCs w:val="24"/>
        </w:rPr>
      </w:pPr>
    </w:p>
    <w:tbl>
      <w:tblPr>
        <w:tblW w:w="6206" w:type="dxa"/>
        <w:tblInd w:w="14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52"/>
        <w:gridCol w:w="1418"/>
        <w:gridCol w:w="1418"/>
        <w:gridCol w:w="1418"/>
      </w:tblGrid>
      <w:tr w:rsidR="00DA0B00" w:rsidRPr="002E33C8" w:rsidTr="001D312A">
        <w:trPr>
          <w:trHeight w:val="255"/>
        </w:trPr>
        <w:tc>
          <w:tcPr>
            <w:tcW w:w="1952" w:type="dxa"/>
            <w:noWrap/>
            <w:vAlign w:val="bottom"/>
          </w:tcPr>
          <w:p w:rsidR="00DA0B00" w:rsidRPr="002E33C8" w:rsidRDefault="00DA0B00" w:rsidP="001D312A">
            <w:pPr>
              <w:jc w:val="right"/>
              <w:rPr>
                <w:rFonts w:ascii="Arial" w:hAnsi="Arial" w:cs="Arial"/>
                <w:i/>
                <w:iCs/>
                <w:sz w:val="20"/>
                <w:szCs w:val="20"/>
              </w:rPr>
            </w:pPr>
            <w:r w:rsidRPr="002E33C8">
              <w:rPr>
                <w:rFonts w:ascii="Arial" w:hAnsi="Arial" w:cs="Arial"/>
                <w:i/>
                <w:iCs/>
                <w:sz w:val="20"/>
                <w:szCs w:val="20"/>
              </w:rPr>
              <w:t xml:space="preserve"> (tis.Kč)</w:t>
            </w:r>
          </w:p>
        </w:tc>
        <w:tc>
          <w:tcPr>
            <w:tcW w:w="1418" w:type="dxa"/>
            <w:noWrap/>
          </w:tcPr>
          <w:p w:rsidR="00DA0B00" w:rsidRPr="002E33C8" w:rsidRDefault="00DA0B00" w:rsidP="001D312A">
            <w:pPr>
              <w:jc w:val="right"/>
              <w:rPr>
                <w:rFonts w:ascii="Arial" w:hAnsi="Arial" w:cs="Arial"/>
                <w:b/>
                <w:bCs/>
                <w:sz w:val="20"/>
                <w:szCs w:val="20"/>
              </w:rPr>
            </w:pPr>
            <w:r w:rsidRPr="002E33C8">
              <w:rPr>
                <w:rFonts w:ascii="Arial" w:hAnsi="Arial" w:cs="Arial"/>
                <w:b/>
                <w:bCs/>
                <w:sz w:val="20"/>
                <w:szCs w:val="20"/>
              </w:rPr>
              <w:t>201</w:t>
            </w:r>
            <w:r>
              <w:rPr>
                <w:rFonts w:ascii="Arial" w:hAnsi="Arial" w:cs="Arial"/>
                <w:b/>
                <w:bCs/>
                <w:sz w:val="20"/>
                <w:szCs w:val="20"/>
              </w:rPr>
              <w:t>7</w:t>
            </w:r>
          </w:p>
        </w:tc>
        <w:tc>
          <w:tcPr>
            <w:tcW w:w="1418" w:type="dxa"/>
            <w:noWrap/>
          </w:tcPr>
          <w:p w:rsidR="00DA0B00" w:rsidRPr="002E33C8" w:rsidRDefault="00DA0B00" w:rsidP="001D312A">
            <w:pPr>
              <w:jc w:val="right"/>
              <w:rPr>
                <w:rFonts w:ascii="Arial" w:hAnsi="Arial" w:cs="Arial"/>
                <w:b/>
                <w:bCs/>
                <w:sz w:val="20"/>
                <w:szCs w:val="20"/>
              </w:rPr>
            </w:pPr>
            <w:r w:rsidRPr="002E33C8">
              <w:rPr>
                <w:rFonts w:ascii="Arial" w:hAnsi="Arial" w:cs="Arial"/>
                <w:b/>
                <w:bCs/>
                <w:sz w:val="20"/>
                <w:szCs w:val="20"/>
              </w:rPr>
              <w:t>201</w:t>
            </w:r>
            <w:r>
              <w:rPr>
                <w:rFonts w:ascii="Arial" w:hAnsi="Arial" w:cs="Arial"/>
                <w:b/>
                <w:bCs/>
                <w:sz w:val="20"/>
                <w:szCs w:val="20"/>
              </w:rPr>
              <w:t>8</w:t>
            </w:r>
          </w:p>
        </w:tc>
        <w:tc>
          <w:tcPr>
            <w:tcW w:w="1418" w:type="dxa"/>
          </w:tcPr>
          <w:p w:rsidR="00DA0B00" w:rsidRPr="002E33C8" w:rsidRDefault="00DA0B00" w:rsidP="001D312A">
            <w:pPr>
              <w:jc w:val="right"/>
              <w:rPr>
                <w:rFonts w:ascii="Arial" w:hAnsi="Arial" w:cs="Arial"/>
                <w:b/>
                <w:bCs/>
                <w:sz w:val="20"/>
                <w:szCs w:val="20"/>
              </w:rPr>
            </w:pPr>
            <w:r w:rsidRPr="002E33C8">
              <w:rPr>
                <w:rFonts w:ascii="Arial" w:hAnsi="Arial" w:cs="Arial"/>
                <w:b/>
                <w:bCs/>
                <w:sz w:val="20"/>
                <w:szCs w:val="20"/>
              </w:rPr>
              <w:t>201</w:t>
            </w:r>
            <w:r>
              <w:rPr>
                <w:rFonts w:ascii="Arial" w:hAnsi="Arial" w:cs="Arial"/>
                <w:b/>
                <w:bCs/>
                <w:sz w:val="20"/>
                <w:szCs w:val="20"/>
              </w:rPr>
              <w:t>9</w:t>
            </w:r>
          </w:p>
        </w:tc>
      </w:tr>
      <w:tr w:rsidR="005B021E" w:rsidRPr="002E33C8" w:rsidTr="001D312A">
        <w:trPr>
          <w:trHeight w:val="255"/>
        </w:trPr>
        <w:tc>
          <w:tcPr>
            <w:tcW w:w="1952" w:type="dxa"/>
            <w:noWrap/>
            <w:vAlign w:val="bottom"/>
          </w:tcPr>
          <w:p w:rsidR="005B021E" w:rsidRPr="002E33C8" w:rsidRDefault="005B021E" w:rsidP="001D312A">
            <w:pPr>
              <w:rPr>
                <w:rFonts w:ascii="Arial" w:hAnsi="Arial" w:cs="Arial"/>
                <w:b/>
                <w:bCs/>
                <w:sz w:val="20"/>
                <w:szCs w:val="20"/>
              </w:rPr>
            </w:pPr>
            <w:r w:rsidRPr="002E33C8">
              <w:rPr>
                <w:rFonts w:ascii="Arial" w:hAnsi="Arial" w:cs="Arial"/>
                <w:b/>
                <w:bCs/>
                <w:sz w:val="20"/>
                <w:szCs w:val="20"/>
              </w:rPr>
              <w:t xml:space="preserve">Odvody </w:t>
            </w:r>
            <w:r>
              <w:rPr>
                <w:rFonts w:ascii="Arial" w:hAnsi="Arial" w:cs="Arial"/>
                <w:b/>
                <w:bCs/>
                <w:sz w:val="20"/>
                <w:szCs w:val="20"/>
              </w:rPr>
              <w:t>původců</w:t>
            </w:r>
          </w:p>
        </w:tc>
        <w:tc>
          <w:tcPr>
            <w:tcW w:w="1418" w:type="dxa"/>
            <w:noWrap/>
            <w:vAlign w:val="bottom"/>
          </w:tcPr>
          <w:p w:rsidR="005B021E" w:rsidRPr="005B021E" w:rsidRDefault="005B021E">
            <w:pPr>
              <w:jc w:val="right"/>
              <w:rPr>
                <w:rFonts w:ascii="Arial" w:hAnsi="Arial" w:cs="Arial"/>
                <w:bCs/>
                <w:sz w:val="20"/>
                <w:szCs w:val="20"/>
              </w:rPr>
            </w:pPr>
            <w:r w:rsidRPr="005B021E">
              <w:rPr>
                <w:rFonts w:ascii="Arial" w:hAnsi="Arial" w:cs="Arial"/>
                <w:bCs/>
                <w:sz w:val="20"/>
                <w:szCs w:val="20"/>
              </w:rPr>
              <w:t>1 520 000</w:t>
            </w:r>
          </w:p>
        </w:tc>
        <w:tc>
          <w:tcPr>
            <w:tcW w:w="1418" w:type="dxa"/>
            <w:noWrap/>
            <w:vAlign w:val="bottom"/>
          </w:tcPr>
          <w:p w:rsidR="005B021E" w:rsidRPr="005B021E" w:rsidRDefault="005B021E">
            <w:pPr>
              <w:jc w:val="right"/>
              <w:rPr>
                <w:rFonts w:ascii="Arial" w:hAnsi="Arial" w:cs="Arial"/>
                <w:bCs/>
                <w:sz w:val="20"/>
                <w:szCs w:val="20"/>
              </w:rPr>
            </w:pPr>
            <w:r w:rsidRPr="005B021E">
              <w:rPr>
                <w:rFonts w:ascii="Arial" w:hAnsi="Arial" w:cs="Arial"/>
                <w:bCs/>
                <w:sz w:val="20"/>
                <w:szCs w:val="20"/>
              </w:rPr>
              <w:t>1 660 000</w:t>
            </w:r>
          </w:p>
        </w:tc>
        <w:tc>
          <w:tcPr>
            <w:tcW w:w="1418" w:type="dxa"/>
            <w:vAlign w:val="bottom"/>
          </w:tcPr>
          <w:p w:rsidR="005B021E" w:rsidRPr="005B021E" w:rsidRDefault="005B021E">
            <w:pPr>
              <w:jc w:val="right"/>
              <w:rPr>
                <w:rFonts w:ascii="Arial" w:hAnsi="Arial" w:cs="Arial"/>
                <w:bCs/>
                <w:sz w:val="20"/>
                <w:szCs w:val="20"/>
              </w:rPr>
            </w:pPr>
            <w:r w:rsidRPr="005B021E">
              <w:rPr>
                <w:rFonts w:ascii="Arial" w:hAnsi="Arial" w:cs="Arial"/>
                <w:bCs/>
                <w:sz w:val="20"/>
                <w:szCs w:val="20"/>
              </w:rPr>
              <w:t>1 680 000</w:t>
            </w:r>
          </w:p>
        </w:tc>
      </w:tr>
      <w:tr w:rsidR="005B021E" w:rsidRPr="002E33C8" w:rsidTr="001D312A">
        <w:trPr>
          <w:trHeight w:val="255"/>
        </w:trPr>
        <w:tc>
          <w:tcPr>
            <w:tcW w:w="1952" w:type="dxa"/>
            <w:noWrap/>
            <w:vAlign w:val="bottom"/>
          </w:tcPr>
          <w:p w:rsidR="005B021E" w:rsidRPr="002E33C8" w:rsidRDefault="005B021E" w:rsidP="001D312A">
            <w:pPr>
              <w:rPr>
                <w:rFonts w:ascii="Arial" w:hAnsi="Arial" w:cs="Arial"/>
                <w:b/>
                <w:bCs/>
                <w:sz w:val="20"/>
                <w:szCs w:val="20"/>
              </w:rPr>
            </w:pPr>
            <w:r w:rsidRPr="002E33C8">
              <w:rPr>
                <w:rFonts w:ascii="Arial" w:hAnsi="Arial" w:cs="Arial"/>
                <w:b/>
                <w:bCs/>
                <w:sz w:val="20"/>
                <w:szCs w:val="20"/>
              </w:rPr>
              <w:t>Výnos z investování</w:t>
            </w:r>
          </w:p>
        </w:tc>
        <w:tc>
          <w:tcPr>
            <w:tcW w:w="1418" w:type="dxa"/>
            <w:noWrap/>
            <w:vAlign w:val="bottom"/>
          </w:tcPr>
          <w:p w:rsidR="005B021E" w:rsidRPr="005B021E" w:rsidRDefault="005B021E">
            <w:pPr>
              <w:jc w:val="right"/>
              <w:rPr>
                <w:rFonts w:ascii="Arial" w:hAnsi="Arial" w:cs="Arial"/>
                <w:bCs/>
                <w:sz w:val="20"/>
                <w:szCs w:val="20"/>
              </w:rPr>
            </w:pPr>
            <w:r w:rsidRPr="005B021E">
              <w:rPr>
                <w:rFonts w:ascii="Arial" w:hAnsi="Arial" w:cs="Arial"/>
                <w:bCs/>
                <w:sz w:val="20"/>
                <w:szCs w:val="20"/>
              </w:rPr>
              <w:t>340 000</w:t>
            </w:r>
          </w:p>
        </w:tc>
        <w:tc>
          <w:tcPr>
            <w:tcW w:w="1418" w:type="dxa"/>
            <w:noWrap/>
            <w:vAlign w:val="bottom"/>
          </w:tcPr>
          <w:p w:rsidR="005B021E" w:rsidRPr="005B021E" w:rsidRDefault="005B021E">
            <w:pPr>
              <w:jc w:val="right"/>
              <w:rPr>
                <w:rFonts w:ascii="Arial" w:hAnsi="Arial" w:cs="Arial"/>
                <w:bCs/>
                <w:sz w:val="20"/>
                <w:szCs w:val="20"/>
              </w:rPr>
            </w:pPr>
            <w:r w:rsidRPr="005B021E">
              <w:rPr>
                <w:rFonts w:ascii="Arial" w:hAnsi="Arial" w:cs="Arial"/>
                <w:bCs/>
                <w:sz w:val="20"/>
                <w:szCs w:val="20"/>
              </w:rPr>
              <w:t>200 000</w:t>
            </w:r>
          </w:p>
        </w:tc>
        <w:tc>
          <w:tcPr>
            <w:tcW w:w="1418" w:type="dxa"/>
            <w:vAlign w:val="bottom"/>
          </w:tcPr>
          <w:p w:rsidR="005B021E" w:rsidRPr="005B021E" w:rsidRDefault="005B021E">
            <w:pPr>
              <w:jc w:val="right"/>
              <w:rPr>
                <w:rFonts w:ascii="Arial" w:hAnsi="Arial" w:cs="Arial"/>
                <w:bCs/>
                <w:sz w:val="20"/>
                <w:szCs w:val="20"/>
              </w:rPr>
            </w:pPr>
            <w:r w:rsidRPr="005B021E">
              <w:rPr>
                <w:rFonts w:ascii="Arial" w:hAnsi="Arial" w:cs="Arial"/>
                <w:bCs/>
                <w:sz w:val="20"/>
                <w:szCs w:val="20"/>
              </w:rPr>
              <w:t>200 000</w:t>
            </w:r>
          </w:p>
        </w:tc>
      </w:tr>
      <w:tr w:rsidR="005B021E" w:rsidRPr="002E33C8" w:rsidTr="001D312A">
        <w:trPr>
          <w:trHeight w:val="255"/>
        </w:trPr>
        <w:tc>
          <w:tcPr>
            <w:tcW w:w="1952" w:type="dxa"/>
            <w:noWrap/>
            <w:vAlign w:val="bottom"/>
          </w:tcPr>
          <w:p w:rsidR="005B021E" w:rsidRPr="002E33C8" w:rsidRDefault="005B021E" w:rsidP="001D312A">
            <w:pPr>
              <w:rPr>
                <w:rFonts w:ascii="Arial" w:hAnsi="Arial" w:cs="Arial"/>
                <w:b/>
                <w:bCs/>
                <w:sz w:val="20"/>
                <w:szCs w:val="20"/>
              </w:rPr>
            </w:pPr>
            <w:r w:rsidRPr="002E33C8">
              <w:rPr>
                <w:rFonts w:ascii="Arial" w:hAnsi="Arial" w:cs="Arial"/>
                <w:b/>
                <w:bCs/>
                <w:sz w:val="20"/>
                <w:szCs w:val="20"/>
              </w:rPr>
              <w:t>Celkem</w:t>
            </w:r>
          </w:p>
        </w:tc>
        <w:tc>
          <w:tcPr>
            <w:tcW w:w="1418" w:type="dxa"/>
            <w:noWrap/>
            <w:vAlign w:val="bottom"/>
          </w:tcPr>
          <w:p w:rsidR="005B021E" w:rsidRDefault="005B021E">
            <w:pPr>
              <w:jc w:val="right"/>
              <w:rPr>
                <w:rFonts w:ascii="Arial" w:hAnsi="Arial" w:cs="Arial"/>
                <w:b/>
                <w:bCs/>
                <w:sz w:val="20"/>
                <w:szCs w:val="20"/>
              </w:rPr>
            </w:pPr>
            <w:r>
              <w:rPr>
                <w:rFonts w:ascii="Arial" w:hAnsi="Arial" w:cs="Arial"/>
                <w:b/>
                <w:bCs/>
                <w:sz w:val="20"/>
                <w:szCs w:val="20"/>
              </w:rPr>
              <w:t>1 860 000</w:t>
            </w:r>
          </w:p>
        </w:tc>
        <w:tc>
          <w:tcPr>
            <w:tcW w:w="1418" w:type="dxa"/>
            <w:noWrap/>
            <w:vAlign w:val="bottom"/>
          </w:tcPr>
          <w:p w:rsidR="005B021E" w:rsidRDefault="005B021E">
            <w:pPr>
              <w:jc w:val="right"/>
              <w:rPr>
                <w:rFonts w:ascii="Arial" w:hAnsi="Arial" w:cs="Arial"/>
                <w:b/>
                <w:bCs/>
                <w:sz w:val="20"/>
                <w:szCs w:val="20"/>
              </w:rPr>
            </w:pPr>
            <w:r>
              <w:rPr>
                <w:rFonts w:ascii="Arial" w:hAnsi="Arial" w:cs="Arial"/>
                <w:b/>
                <w:bCs/>
                <w:sz w:val="20"/>
                <w:szCs w:val="20"/>
              </w:rPr>
              <w:t>1 860 000</w:t>
            </w:r>
          </w:p>
        </w:tc>
        <w:tc>
          <w:tcPr>
            <w:tcW w:w="1418" w:type="dxa"/>
            <w:vAlign w:val="bottom"/>
          </w:tcPr>
          <w:p w:rsidR="005B021E" w:rsidRDefault="005B021E">
            <w:pPr>
              <w:jc w:val="right"/>
              <w:rPr>
                <w:rFonts w:ascii="Arial" w:hAnsi="Arial" w:cs="Arial"/>
                <w:b/>
                <w:bCs/>
                <w:sz w:val="20"/>
                <w:szCs w:val="20"/>
              </w:rPr>
            </w:pPr>
            <w:r>
              <w:rPr>
                <w:rFonts w:ascii="Arial" w:hAnsi="Arial" w:cs="Arial"/>
                <w:b/>
                <w:bCs/>
                <w:sz w:val="20"/>
                <w:szCs w:val="20"/>
              </w:rPr>
              <w:t>1 880 000</w:t>
            </w:r>
          </w:p>
        </w:tc>
      </w:tr>
    </w:tbl>
    <w:p w:rsidR="00DA0B00" w:rsidRPr="002E33C8" w:rsidRDefault="00DA0B00" w:rsidP="00DA0B00">
      <w:pPr>
        <w:rPr>
          <w:rFonts w:ascii="Arial" w:hAnsi="Arial" w:cs="Arial"/>
        </w:rPr>
      </w:pPr>
    </w:p>
    <w:p w:rsidR="00DA0B00" w:rsidRPr="002E33C8" w:rsidRDefault="00DA0B00" w:rsidP="00DA0B00">
      <w:pPr>
        <w:pStyle w:val="Nadpis3"/>
        <w:spacing w:after="120"/>
        <w:rPr>
          <w:rFonts w:ascii="Arial" w:hAnsi="Arial" w:cs="Arial"/>
        </w:rPr>
      </w:pPr>
      <w:bookmarkStart w:id="149" w:name="_Toc175555904"/>
      <w:bookmarkStart w:id="150" w:name="_Toc453575873"/>
      <w:r w:rsidRPr="002E33C8">
        <w:rPr>
          <w:rFonts w:ascii="Arial" w:hAnsi="Arial" w:cs="Arial"/>
        </w:rPr>
        <w:t>Předpokládané výdaje Správy</w:t>
      </w:r>
      <w:bookmarkEnd w:id="149"/>
      <w:bookmarkEnd w:id="150"/>
    </w:p>
    <w:p w:rsidR="00DA0B00" w:rsidRPr="002E33C8" w:rsidRDefault="00DA0B00" w:rsidP="00DA0B00">
      <w:pPr>
        <w:pStyle w:val="Zkladntext2"/>
        <w:spacing w:before="0"/>
        <w:rPr>
          <w:rFonts w:ascii="Arial" w:hAnsi="Arial" w:cs="Arial"/>
          <w:sz w:val="24"/>
          <w:szCs w:val="24"/>
        </w:rPr>
      </w:pPr>
    </w:p>
    <w:tbl>
      <w:tblPr>
        <w:tblW w:w="7654" w:type="dxa"/>
        <w:tblInd w:w="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2"/>
        <w:gridCol w:w="2480"/>
        <w:gridCol w:w="1417"/>
        <w:gridCol w:w="1417"/>
        <w:gridCol w:w="1418"/>
      </w:tblGrid>
      <w:tr w:rsidR="00DA0B00" w:rsidRPr="00334748" w:rsidTr="001D312A">
        <w:trPr>
          <w:trHeight w:val="264"/>
        </w:trPr>
        <w:tc>
          <w:tcPr>
            <w:tcW w:w="922" w:type="dxa"/>
            <w:shd w:val="clear" w:color="auto" w:fill="auto"/>
            <w:noWrap/>
            <w:vAlign w:val="bottom"/>
          </w:tcPr>
          <w:p w:rsidR="00DA0B00" w:rsidRPr="00334748" w:rsidRDefault="00DA0B00" w:rsidP="001D312A">
            <w:pPr>
              <w:jc w:val="center"/>
              <w:rPr>
                <w:rFonts w:ascii="Arial" w:hAnsi="Arial" w:cs="Arial"/>
                <w:b/>
                <w:sz w:val="20"/>
                <w:szCs w:val="20"/>
              </w:rPr>
            </w:pPr>
            <w:r w:rsidRPr="00334748">
              <w:rPr>
                <w:rFonts w:ascii="Arial" w:hAnsi="Arial" w:cs="Arial"/>
                <w:b/>
                <w:sz w:val="20"/>
                <w:szCs w:val="20"/>
              </w:rPr>
              <w:t>Položka</w:t>
            </w:r>
          </w:p>
        </w:tc>
        <w:tc>
          <w:tcPr>
            <w:tcW w:w="2480" w:type="dxa"/>
            <w:shd w:val="clear" w:color="auto" w:fill="auto"/>
            <w:noWrap/>
            <w:vAlign w:val="bottom"/>
          </w:tcPr>
          <w:p w:rsidR="00DA0B00" w:rsidRPr="00334748" w:rsidRDefault="00DA0B00" w:rsidP="001D312A">
            <w:pPr>
              <w:jc w:val="left"/>
              <w:rPr>
                <w:rFonts w:ascii="Arial" w:hAnsi="Arial" w:cs="Arial"/>
                <w:b/>
                <w:sz w:val="20"/>
                <w:szCs w:val="20"/>
              </w:rPr>
            </w:pPr>
            <w:r w:rsidRPr="00334748">
              <w:rPr>
                <w:rFonts w:ascii="Arial" w:hAnsi="Arial" w:cs="Arial"/>
                <w:b/>
                <w:sz w:val="20"/>
                <w:szCs w:val="20"/>
              </w:rPr>
              <w:t>Název</w:t>
            </w:r>
            <w:r>
              <w:rPr>
                <w:rFonts w:ascii="Arial" w:hAnsi="Arial" w:cs="Arial"/>
                <w:b/>
                <w:sz w:val="20"/>
                <w:szCs w:val="20"/>
              </w:rPr>
              <w:t xml:space="preserve">                 </w:t>
            </w:r>
            <w:r w:rsidRPr="0070597A">
              <w:rPr>
                <w:rFonts w:ascii="Arial" w:hAnsi="Arial" w:cs="Arial"/>
                <w:i/>
                <w:sz w:val="20"/>
                <w:szCs w:val="20"/>
              </w:rPr>
              <w:t>(tis. Kč)</w:t>
            </w:r>
          </w:p>
        </w:tc>
        <w:tc>
          <w:tcPr>
            <w:tcW w:w="1417" w:type="dxa"/>
            <w:shd w:val="clear" w:color="auto" w:fill="auto"/>
          </w:tcPr>
          <w:p w:rsidR="00DA0B00" w:rsidRPr="00BE2489" w:rsidRDefault="00DA0B00" w:rsidP="001D312A">
            <w:pPr>
              <w:jc w:val="center"/>
              <w:rPr>
                <w:rFonts w:ascii="Arial" w:hAnsi="Arial" w:cs="Arial"/>
                <w:b/>
                <w:sz w:val="20"/>
                <w:szCs w:val="20"/>
              </w:rPr>
            </w:pPr>
            <w:r w:rsidRPr="00BE2489">
              <w:rPr>
                <w:rFonts w:ascii="Arial" w:hAnsi="Arial" w:cs="Arial"/>
                <w:b/>
                <w:sz w:val="20"/>
                <w:szCs w:val="20"/>
              </w:rPr>
              <w:t>201</w:t>
            </w:r>
            <w:r>
              <w:rPr>
                <w:rFonts w:ascii="Arial" w:hAnsi="Arial" w:cs="Arial"/>
                <w:b/>
                <w:sz w:val="20"/>
                <w:szCs w:val="20"/>
              </w:rPr>
              <w:t>7</w:t>
            </w:r>
          </w:p>
        </w:tc>
        <w:tc>
          <w:tcPr>
            <w:tcW w:w="1417" w:type="dxa"/>
            <w:shd w:val="clear" w:color="auto" w:fill="auto"/>
          </w:tcPr>
          <w:p w:rsidR="00DA0B00" w:rsidRPr="00BE2489" w:rsidRDefault="00DA0B00" w:rsidP="001D312A">
            <w:pPr>
              <w:jc w:val="center"/>
              <w:rPr>
                <w:rFonts w:ascii="Arial" w:hAnsi="Arial" w:cs="Arial"/>
                <w:b/>
                <w:sz w:val="20"/>
                <w:szCs w:val="20"/>
              </w:rPr>
            </w:pPr>
            <w:r w:rsidRPr="00BE2489">
              <w:rPr>
                <w:rFonts w:ascii="Arial" w:hAnsi="Arial" w:cs="Arial"/>
                <w:b/>
                <w:sz w:val="20"/>
                <w:szCs w:val="20"/>
              </w:rPr>
              <w:t>201</w:t>
            </w:r>
            <w:r>
              <w:rPr>
                <w:rFonts w:ascii="Arial" w:hAnsi="Arial" w:cs="Arial"/>
                <w:b/>
                <w:sz w:val="20"/>
                <w:szCs w:val="20"/>
              </w:rPr>
              <w:t>8</w:t>
            </w:r>
          </w:p>
        </w:tc>
        <w:tc>
          <w:tcPr>
            <w:tcW w:w="1418" w:type="dxa"/>
            <w:shd w:val="clear" w:color="auto" w:fill="auto"/>
          </w:tcPr>
          <w:p w:rsidR="00DA0B00" w:rsidRPr="00BE2489" w:rsidRDefault="00DA0B00" w:rsidP="001D312A">
            <w:pPr>
              <w:jc w:val="center"/>
              <w:rPr>
                <w:rFonts w:ascii="Arial" w:hAnsi="Arial" w:cs="Arial"/>
                <w:b/>
                <w:sz w:val="20"/>
                <w:szCs w:val="20"/>
              </w:rPr>
            </w:pPr>
            <w:r w:rsidRPr="00BE2489">
              <w:rPr>
                <w:rFonts w:ascii="Arial" w:hAnsi="Arial" w:cs="Arial"/>
                <w:b/>
                <w:sz w:val="20"/>
                <w:szCs w:val="20"/>
              </w:rPr>
              <w:t>201</w:t>
            </w:r>
            <w:r>
              <w:rPr>
                <w:rFonts w:ascii="Arial" w:hAnsi="Arial" w:cs="Arial"/>
                <w:b/>
                <w:sz w:val="20"/>
                <w:szCs w:val="20"/>
              </w:rPr>
              <w:t>9</w:t>
            </w:r>
          </w:p>
        </w:tc>
      </w:tr>
      <w:tr w:rsidR="00B36507" w:rsidRPr="00334748" w:rsidTr="00441AE0">
        <w:trPr>
          <w:trHeight w:val="264"/>
        </w:trPr>
        <w:tc>
          <w:tcPr>
            <w:tcW w:w="922" w:type="dxa"/>
            <w:shd w:val="clear" w:color="auto" w:fill="auto"/>
            <w:noWrap/>
            <w:vAlign w:val="center"/>
          </w:tcPr>
          <w:p w:rsidR="00B36507" w:rsidRPr="00334748" w:rsidRDefault="00B36507" w:rsidP="001D312A">
            <w:pPr>
              <w:jc w:val="center"/>
              <w:rPr>
                <w:rFonts w:ascii="Arial" w:hAnsi="Arial" w:cs="Arial"/>
                <w:b/>
                <w:bCs/>
                <w:sz w:val="20"/>
                <w:szCs w:val="20"/>
              </w:rPr>
            </w:pPr>
            <w:r w:rsidRPr="00334748">
              <w:rPr>
                <w:rFonts w:ascii="Arial" w:hAnsi="Arial" w:cs="Arial"/>
                <w:b/>
                <w:bCs/>
                <w:sz w:val="20"/>
                <w:szCs w:val="20"/>
              </w:rPr>
              <w:t>5</w:t>
            </w:r>
          </w:p>
        </w:tc>
        <w:tc>
          <w:tcPr>
            <w:tcW w:w="2480" w:type="dxa"/>
            <w:shd w:val="clear" w:color="auto" w:fill="auto"/>
            <w:noWrap/>
            <w:vAlign w:val="center"/>
          </w:tcPr>
          <w:p w:rsidR="00B36507" w:rsidRPr="00334748" w:rsidRDefault="00B36507" w:rsidP="001D312A">
            <w:pPr>
              <w:jc w:val="left"/>
              <w:rPr>
                <w:rFonts w:ascii="Arial" w:hAnsi="Arial" w:cs="Arial"/>
                <w:b/>
                <w:bCs/>
                <w:sz w:val="20"/>
                <w:szCs w:val="20"/>
              </w:rPr>
            </w:pPr>
            <w:r w:rsidRPr="00334748">
              <w:rPr>
                <w:rFonts w:ascii="Arial" w:hAnsi="Arial" w:cs="Arial"/>
                <w:b/>
                <w:bCs/>
                <w:sz w:val="20"/>
                <w:szCs w:val="20"/>
              </w:rPr>
              <w:t>BĚŽNÉ VÝDAJE</w:t>
            </w:r>
          </w:p>
        </w:tc>
        <w:tc>
          <w:tcPr>
            <w:tcW w:w="1417" w:type="dxa"/>
            <w:shd w:val="clear" w:color="auto" w:fill="auto"/>
            <w:noWrap/>
            <w:vAlign w:val="center"/>
          </w:tcPr>
          <w:p w:rsidR="00B36507" w:rsidRPr="00D0531A" w:rsidRDefault="00B36507" w:rsidP="00C92BA5">
            <w:pPr>
              <w:jc w:val="center"/>
              <w:rPr>
                <w:rFonts w:ascii="Arial" w:hAnsi="Arial" w:cs="Arial"/>
                <w:b/>
                <w:sz w:val="20"/>
                <w:szCs w:val="20"/>
              </w:rPr>
            </w:pPr>
            <w:r w:rsidRPr="00D0531A">
              <w:rPr>
                <w:rFonts w:ascii="Arial" w:hAnsi="Arial" w:cs="Arial"/>
                <w:b/>
                <w:sz w:val="20"/>
                <w:szCs w:val="20"/>
              </w:rPr>
              <w:t>2</w:t>
            </w:r>
            <w:r>
              <w:rPr>
                <w:rFonts w:ascii="Arial" w:hAnsi="Arial" w:cs="Arial"/>
                <w:b/>
                <w:sz w:val="20"/>
                <w:szCs w:val="20"/>
              </w:rPr>
              <w:t>7</w:t>
            </w:r>
            <w:r w:rsidRPr="00D0531A">
              <w:rPr>
                <w:rFonts w:ascii="Arial" w:hAnsi="Arial" w:cs="Arial"/>
                <w:b/>
                <w:sz w:val="20"/>
                <w:szCs w:val="20"/>
              </w:rPr>
              <w:t xml:space="preserve">8 </w:t>
            </w:r>
            <w:r>
              <w:rPr>
                <w:rFonts w:ascii="Arial" w:hAnsi="Arial" w:cs="Arial"/>
                <w:b/>
                <w:sz w:val="20"/>
                <w:szCs w:val="20"/>
              </w:rPr>
              <w:t>2</w:t>
            </w:r>
            <w:r w:rsidRPr="00D0531A">
              <w:rPr>
                <w:rFonts w:ascii="Arial" w:hAnsi="Arial" w:cs="Arial"/>
                <w:b/>
                <w:sz w:val="20"/>
                <w:szCs w:val="20"/>
              </w:rPr>
              <w:t>10</w:t>
            </w:r>
          </w:p>
        </w:tc>
        <w:tc>
          <w:tcPr>
            <w:tcW w:w="1417" w:type="dxa"/>
            <w:shd w:val="clear" w:color="auto" w:fill="auto"/>
            <w:noWrap/>
            <w:vAlign w:val="bottom"/>
          </w:tcPr>
          <w:p w:rsidR="00B36507" w:rsidRDefault="00B36507" w:rsidP="00B36507">
            <w:pPr>
              <w:jc w:val="center"/>
              <w:rPr>
                <w:rFonts w:ascii="Arial" w:hAnsi="Arial" w:cs="Arial"/>
                <w:b/>
                <w:bCs/>
                <w:sz w:val="20"/>
                <w:szCs w:val="20"/>
              </w:rPr>
            </w:pPr>
            <w:r>
              <w:rPr>
                <w:rFonts w:ascii="Arial" w:hAnsi="Arial" w:cs="Arial"/>
                <w:b/>
                <w:bCs/>
                <w:sz w:val="20"/>
                <w:szCs w:val="20"/>
              </w:rPr>
              <w:t>263 365</w:t>
            </w:r>
          </w:p>
        </w:tc>
        <w:tc>
          <w:tcPr>
            <w:tcW w:w="1418" w:type="dxa"/>
            <w:shd w:val="clear" w:color="auto" w:fill="auto"/>
            <w:noWrap/>
            <w:vAlign w:val="bottom"/>
          </w:tcPr>
          <w:p w:rsidR="00B36507" w:rsidRDefault="00B36507" w:rsidP="00B36507">
            <w:pPr>
              <w:jc w:val="center"/>
              <w:rPr>
                <w:rFonts w:ascii="Arial" w:hAnsi="Arial" w:cs="Arial"/>
                <w:b/>
                <w:bCs/>
                <w:sz w:val="20"/>
                <w:szCs w:val="20"/>
              </w:rPr>
            </w:pPr>
            <w:r>
              <w:rPr>
                <w:rFonts w:ascii="Arial" w:hAnsi="Arial" w:cs="Arial"/>
                <w:b/>
                <w:bCs/>
                <w:sz w:val="20"/>
                <w:szCs w:val="20"/>
              </w:rPr>
              <w:t>247 750</w:t>
            </w:r>
          </w:p>
        </w:tc>
      </w:tr>
      <w:tr w:rsidR="00B36507" w:rsidRPr="00990406" w:rsidTr="001D312A">
        <w:trPr>
          <w:trHeight w:val="264"/>
        </w:trPr>
        <w:tc>
          <w:tcPr>
            <w:tcW w:w="922" w:type="dxa"/>
            <w:shd w:val="clear" w:color="auto" w:fill="auto"/>
            <w:noWrap/>
            <w:vAlign w:val="bottom"/>
          </w:tcPr>
          <w:p w:rsidR="00B36507" w:rsidRPr="00334748" w:rsidRDefault="00B36507" w:rsidP="001D312A">
            <w:pPr>
              <w:jc w:val="center"/>
              <w:rPr>
                <w:rFonts w:ascii="Arial" w:hAnsi="Arial" w:cs="Arial"/>
                <w:b/>
                <w:bCs/>
                <w:sz w:val="20"/>
                <w:szCs w:val="20"/>
              </w:rPr>
            </w:pPr>
          </w:p>
        </w:tc>
        <w:tc>
          <w:tcPr>
            <w:tcW w:w="2480" w:type="dxa"/>
            <w:shd w:val="clear" w:color="auto" w:fill="auto"/>
            <w:noWrap/>
            <w:vAlign w:val="bottom"/>
          </w:tcPr>
          <w:p w:rsidR="00B36507" w:rsidRPr="00334748" w:rsidRDefault="00B36507" w:rsidP="001D312A">
            <w:pPr>
              <w:jc w:val="left"/>
              <w:rPr>
                <w:rFonts w:ascii="Arial" w:hAnsi="Arial" w:cs="Arial"/>
                <w:b/>
                <w:bCs/>
                <w:sz w:val="20"/>
                <w:szCs w:val="20"/>
              </w:rPr>
            </w:pPr>
            <w:r>
              <w:rPr>
                <w:rFonts w:ascii="Arial" w:hAnsi="Arial" w:cs="Arial"/>
                <w:b/>
                <w:bCs/>
                <w:sz w:val="20"/>
                <w:szCs w:val="20"/>
              </w:rPr>
              <w:t xml:space="preserve">   v tom z rozp. MPO</w:t>
            </w:r>
          </w:p>
        </w:tc>
        <w:tc>
          <w:tcPr>
            <w:tcW w:w="1417" w:type="dxa"/>
            <w:shd w:val="clear" w:color="auto" w:fill="auto"/>
            <w:noWrap/>
            <w:vAlign w:val="bottom"/>
          </w:tcPr>
          <w:p w:rsidR="00B36507" w:rsidRDefault="00B36507" w:rsidP="00C92BA5">
            <w:pPr>
              <w:jc w:val="center"/>
              <w:rPr>
                <w:rFonts w:ascii="Arial" w:hAnsi="Arial" w:cs="Arial"/>
                <w:sz w:val="20"/>
                <w:szCs w:val="20"/>
              </w:rPr>
            </w:pPr>
            <w:r>
              <w:rPr>
                <w:rFonts w:ascii="Arial" w:hAnsi="Arial" w:cs="Arial"/>
                <w:sz w:val="20"/>
                <w:szCs w:val="20"/>
              </w:rPr>
              <w:t>4 700</w:t>
            </w:r>
          </w:p>
        </w:tc>
        <w:tc>
          <w:tcPr>
            <w:tcW w:w="1417" w:type="dxa"/>
            <w:shd w:val="clear" w:color="auto" w:fill="auto"/>
            <w:noWrap/>
            <w:vAlign w:val="bottom"/>
          </w:tcPr>
          <w:p w:rsidR="00B36507" w:rsidRDefault="00B36507" w:rsidP="00B36507">
            <w:pPr>
              <w:jc w:val="center"/>
              <w:rPr>
                <w:rFonts w:ascii="Arial" w:hAnsi="Arial" w:cs="Arial"/>
                <w:sz w:val="20"/>
                <w:szCs w:val="20"/>
              </w:rPr>
            </w:pPr>
            <w:r>
              <w:rPr>
                <w:rFonts w:ascii="Arial" w:hAnsi="Arial" w:cs="Arial"/>
                <w:sz w:val="20"/>
                <w:szCs w:val="20"/>
              </w:rPr>
              <w:t>4 700</w:t>
            </w:r>
          </w:p>
        </w:tc>
        <w:tc>
          <w:tcPr>
            <w:tcW w:w="1418" w:type="dxa"/>
            <w:shd w:val="clear" w:color="auto" w:fill="auto"/>
            <w:noWrap/>
            <w:vAlign w:val="bottom"/>
          </w:tcPr>
          <w:p w:rsidR="00B36507" w:rsidRDefault="00B36507" w:rsidP="00B36507">
            <w:pPr>
              <w:jc w:val="center"/>
              <w:rPr>
                <w:rFonts w:ascii="Arial" w:hAnsi="Arial" w:cs="Arial"/>
                <w:sz w:val="20"/>
                <w:szCs w:val="20"/>
              </w:rPr>
            </w:pPr>
            <w:r>
              <w:rPr>
                <w:rFonts w:ascii="Arial" w:hAnsi="Arial" w:cs="Arial"/>
                <w:sz w:val="20"/>
                <w:szCs w:val="20"/>
              </w:rPr>
              <w:t>4 700</w:t>
            </w:r>
          </w:p>
        </w:tc>
      </w:tr>
      <w:tr w:rsidR="00B36507" w:rsidRPr="00990406" w:rsidTr="001D312A">
        <w:trPr>
          <w:trHeight w:val="264"/>
        </w:trPr>
        <w:tc>
          <w:tcPr>
            <w:tcW w:w="922" w:type="dxa"/>
            <w:shd w:val="clear" w:color="auto" w:fill="auto"/>
            <w:noWrap/>
            <w:vAlign w:val="bottom"/>
          </w:tcPr>
          <w:p w:rsidR="00B36507" w:rsidRPr="00334748" w:rsidRDefault="00B36507" w:rsidP="001D312A">
            <w:pPr>
              <w:jc w:val="center"/>
              <w:rPr>
                <w:rFonts w:ascii="Arial" w:hAnsi="Arial" w:cs="Arial"/>
                <w:b/>
                <w:bCs/>
                <w:sz w:val="20"/>
                <w:szCs w:val="20"/>
              </w:rPr>
            </w:pPr>
            <w:r w:rsidRPr="00334748">
              <w:rPr>
                <w:rFonts w:ascii="Arial" w:hAnsi="Arial" w:cs="Arial"/>
                <w:b/>
                <w:bCs/>
                <w:sz w:val="20"/>
                <w:szCs w:val="20"/>
              </w:rPr>
              <w:t>6</w:t>
            </w:r>
          </w:p>
        </w:tc>
        <w:tc>
          <w:tcPr>
            <w:tcW w:w="2480" w:type="dxa"/>
            <w:shd w:val="clear" w:color="auto" w:fill="auto"/>
            <w:noWrap/>
            <w:vAlign w:val="bottom"/>
          </w:tcPr>
          <w:p w:rsidR="00B36507" w:rsidRPr="00334748" w:rsidRDefault="00B36507" w:rsidP="001D312A">
            <w:pPr>
              <w:jc w:val="left"/>
              <w:rPr>
                <w:rFonts w:ascii="Arial" w:hAnsi="Arial" w:cs="Arial"/>
                <w:b/>
                <w:bCs/>
                <w:sz w:val="20"/>
                <w:szCs w:val="20"/>
              </w:rPr>
            </w:pPr>
            <w:r w:rsidRPr="00334748">
              <w:rPr>
                <w:rFonts w:ascii="Arial" w:hAnsi="Arial" w:cs="Arial"/>
                <w:b/>
                <w:bCs/>
                <w:sz w:val="20"/>
                <w:szCs w:val="20"/>
              </w:rPr>
              <w:t>KAPITÁLOVÉ VÝDAJE</w:t>
            </w:r>
          </w:p>
        </w:tc>
        <w:tc>
          <w:tcPr>
            <w:tcW w:w="1417" w:type="dxa"/>
            <w:shd w:val="clear" w:color="auto" w:fill="auto"/>
            <w:noWrap/>
            <w:vAlign w:val="bottom"/>
          </w:tcPr>
          <w:p w:rsidR="00B36507" w:rsidRDefault="00B36507" w:rsidP="00BE0613">
            <w:pPr>
              <w:jc w:val="center"/>
              <w:rPr>
                <w:rFonts w:ascii="Arial" w:hAnsi="Arial" w:cs="Arial"/>
                <w:b/>
                <w:bCs/>
                <w:sz w:val="20"/>
                <w:szCs w:val="20"/>
              </w:rPr>
            </w:pPr>
            <w:r>
              <w:rPr>
                <w:rFonts w:ascii="Arial" w:hAnsi="Arial" w:cs="Arial"/>
                <w:b/>
                <w:bCs/>
                <w:sz w:val="20"/>
                <w:szCs w:val="20"/>
              </w:rPr>
              <w:t>249 590</w:t>
            </w:r>
          </w:p>
        </w:tc>
        <w:tc>
          <w:tcPr>
            <w:tcW w:w="1417" w:type="dxa"/>
            <w:shd w:val="clear" w:color="auto" w:fill="auto"/>
            <w:noWrap/>
            <w:vAlign w:val="bottom"/>
          </w:tcPr>
          <w:p w:rsidR="00B36507" w:rsidRDefault="00B36507" w:rsidP="00B36507">
            <w:pPr>
              <w:jc w:val="center"/>
              <w:rPr>
                <w:rFonts w:ascii="Arial" w:hAnsi="Arial" w:cs="Arial"/>
                <w:b/>
                <w:bCs/>
                <w:sz w:val="20"/>
                <w:szCs w:val="20"/>
              </w:rPr>
            </w:pPr>
            <w:r>
              <w:rPr>
                <w:rFonts w:ascii="Arial" w:hAnsi="Arial" w:cs="Arial"/>
                <w:b/>
                <w:bCs/>
                <w:sz w:val="20"/>
                <w:szCs w:val="20"/>
              </w:rPr>
              <w:t>279 035</w:t>
            </w:r>
          </w:p>
        </w:tc>
        <w:tc>
          <w:tcPr>
            <w:tcW w:w="1418" w:type="dxa"/>
            <w:shd w:val="clear" w:color="auto" w:fill="auto"/>
            <w:noWrap/>
            <w:vAlign w:val="bottom"/>
          </w:tcPr>
          <w:p w:rsidR="00B36507" w:rsidRDefault="00B36507" w:rsidP="00B36507">
            <w:pPr>
              <w:jc w:val="center"/>
              <w:rPr>
                <w:rFonts w:ascii="Arial" w:hAnsi="Arial" w:cs="Arial"/>
                <w:b/>
                <w:bCs/>
                <w:sz w:val="20"/>
                <w:szCs w:val="20"/>
              </w:rPr>
            </w:pPr>
            <w:r>
              <w:rPr>
                <w:rFonts w:ascii="Arial" w:hAnsi="Arial" w:cs="Arial"/>
                <w:b/>
                <w:bCs/>
                <w:sz w:val="20"/>
                <w:szCs w:val="20"/>
              </w:rPr>
              <w:t>281 550</w:t>
            </w:r>
          </w:p>
        </w:tc>
      </w:tr>
      <w:tr w:rsidR="00B36507" w:rsidRPr="001A6A21" w:rsidTr="001D312A">
        <w:trPr>
          <w:trHeight w:val="264"/>
        </w:trPr>
        <w:tc>
          <w:tcPr>
            <w:tcW w:w="922" w:type="dxa"/>
            <w:shd w:val="clear" w:color="auto" w:fill="auto"/>
            <w:noWrap/>
            <w:vAlign w:val="bottom"/>
          </w:tcPr>
          <w:p w:rsidR="00B36507" w:rsidRPr="00990406" w:rsidRDefault="00B36507" w:rsidP="001D312A">
            <w:pPr>
              <w:jc w:val="center"/>
              <w:rPr>
                <w:rFonts w:ascii="Arial" w:hAnsi="Arial" w:cs="Arial"/>
                <w:b/>
                <w:sz w:val="20"/>
                <w:szCs w:val="20"/>
              </w:rPr>
            </w:pPr>
            <w:r w:rsidRPr="00990406">
              <w:rPr>
                <w:rFonts w:ascii="Arial" w:hAnsi="Arial" w:cs="Arial"/>
                <w:b/>
                <w:sz w:val="20"/>
                <w:szCs w:val="20"/>
              </w:rPr>
              <w:t> </w:t>
            </w:r>
          </w:p>
        </w:tc>
        <w:tc>
          <w:tcPr>
            <w:tcW w:w="2480" w:type="dxa"/>
            <w:shd w:val="clear" w:color="auto" w:fill="auto"/>
            <w:noWrap/>
            <w:vAlign w:val="bottom"/>
          </w:tcPr>
          <w:p w:rsidR="00B36507" w:rsidRPr="00990406" w:rsidRDefault="00B36507" w:rsidP="001D312A">
            <w:pPr>
              <w:jc w:val="left"/>
              <w:rPr>
                <w:rFonts w:ascii="Arial" w:hAnsi="Arial" w:cs="Arial"/>
                <w:b/>
                <w:bCs/>
                <w:sz w:val="20"/>
                <w:szCs w:val="20"/>
              </w:rPr>
            </w:pPr>
            <w:r w:rsidRPr="00990406">
              <w:rPr>
                <w:rFonts w:ascii="Arial" w:hAnsi="Arial" w:cs="Arial"/>
                <w:b/>
                <w:bCs/>
                <w:sz w:val="20"/>
                <w:szCs w:val="20"/>
              </w:rPr>
              <w:t>CELKEM</w:t>
            </w:r>
          </w:p>
        </w:tc>
        <w:tc>
          <w:tcPr>
            <w:tcW w:w="1417" w:type="dxa"/>
            <w:shd w:val="clear" w:color="auto" w:fill="auto"/>
            <w:noWrap/>
            <w:vAlign w:val="bottom"/>
          </w:tcPr>
          <w:p w:rsidR="00B36507" w:rsidRDefault="00B36507" w:rsidP="00C92BA5">
            <w:pPr>
              <w:jc w:val="center"/>
              <w:rPr>
                <w:rFonts w:ascii="Arial" w:hAnsi="Arial" w:cs="Arial"/>
                <w:b/>
                <w:bCs/>
                <w:sz w:val="20"/>
                <w:szCs w:val="20"/>
              </w:rPr>
            </w:pPr>
            <w:r>
              <w:rPr>
                <w:rFonts w:ascii="Arial" w:hAnsi="Arial" w:cs="Arial"/>
                <w:b/>
                <w:bCs/>
                <w:sz w:val="20"/>
                <w:szCs w:val="20"/>
              </w:rPr>
              <w:t>527 800</w:t>
            </w:r>
          </w:p>
        </w:tc>
        <w:tc>
          <w:tcPr>
            <w:tcW w:w="1417" w:type="dxa"/>
            <w:shd w:val="clear" w:color="auto" w:fill="auto"/>
            <w:noWrap/>
            <w:vAlign w:val="bottom"/>
          </w:tcPr>
          <w:p w:rsidR="00B36507" w:rsidRDefault="00B36507" w:rsidP="00B36507">
            <w:pPr>
              <w:jc w:val="center"/>
              <w:rPr>
                <w:rFonts w:ascii="Arial" w:hAnsi="Arial" w:cs="Arial"/>
                <w:b/>
                <w:bCs/>
                <w:sz w:val="20"/>
                <w:szCs w:val="20"/>
              </w:rPr>
            </w:pPr>
            <w:r>
              <w:rPr>
                <w:rFonts w:ascii="Arial" w:hAnsi="Arial" w:cs="Arial"/>
                <w:b/>
                <w:bCs/>
                <w:sz w:val="20"/>
                <w:szCs w:val="20"/>
              </w:rPr>
              <w:t>542 400</w:t>
            </w:r>
          </w:p>
        </w:tc>
        <w:tc>
          <w:tcPr>
            <w:tcW w:w="1418" w:type="dxa"/>
            <w:shd w:val="clear" w:color="auto" w:fill="auto"/>
            <w:noWrap/>
            <w:vAlign w:val="bottom"/>
          </w:tcPr>
          <w:p w:rsidR="00B36507" w:rsidRDefault="00B36507" w:rsidP="00B36507">
            <w:pPr>
              <w:jc w:val="center"/>
              <w:rPr>
                <w:rFonts w:ascii="Arial" w:hAnsi="Arial" w:cs="Arial"/>
                <w:b/>
                <w:bCs/>
                <w:sz w:val="20"/>
                <w:szCs w:val="20"/>
              </w:rPr>
            </w:pPr>
            <w:r>
              <w:rPr>
                <w:rFonts w:ascii="Arial" w:hAnsi="Arial" w:cs="Arial"/>
                <w:b/>
                <w:bCs/>
                <w:sz w:val="20"/>
                <w:szCs w:val="20"/>
              </w:rPr>
              <w:t>529 300</w:t>
            </w:r>
          </w:p>
        </w:tc>
      </w:tr>
    </w:tbl>
    <w:p w:rsidR="00940B72" w:rsidRPr="00441AE0" w:rsidRDefault="00441AE0" w:rsidP="00940B72">
      <w:pPr>
        <w:pStyle w:val="Nadpis1"/>
        <w:numPr>
          <w:ilvl w:val="0"/>
          <w:numId w:val="0"/>
        </w:numPr>
        <w:rPr>
          <w:rFonts w:ascii="Arial" w:hAnsi="Arial" w:cs="Arial"/>
          <w:b w:val="0"/>
          <w:sz w:val="24"/>
          <w:szCs w:val="24"/>
        </w:rPr>
      </w:pPr>
      <w:bookmarkStart w:id="151" w:name="_Toc515325900"/>
      <w:bookmarkStart w:id="152" w:name="_Toc520184566"/>
      <w:bookmarkStart w:id="153" w:name="_Toc175555905"/>
      <w:bookmarkStart w:id="154" w:name="_Toc453575874"/>
      <w:r w:rsidRPr="00441AE0">
        <w:rPr>
          <w:rFonts w:ascii="Arial" w:hAnsi="Arial" w:cs="Arial"/>
          <w:b w:val="0"/>
          <w:sz w:val="24"/>
          <w:szCs w:val="24"/>
        </w:rPr>
        <w:t xml:space="preserve">Plán činnosti předpokládá navýšení celkových výdajů v letech 2017 až 2019 </w:t>
      </w:r>
      <w:r>
        <w:rPr>
          <w:rFonts w:ascii="Arial" w:hAnsi="Arial" w:cs="Arial"/>
          <w:b w:val="0"/>
          <w:sz w:val="24"/>
          <w:szCs w:val="24"/>
        </w:rPr>
        <w:t xml:space="preserve">oproti roku 2017 </w:t>
      </w:r>
      <w:r w:rsidRPr="00441AE0">
        <w:rPr>
          <w:rFonts w:ascii="Arial" w:hAnsi="Arial" w:cs="Arial"/>
          <w:b w:val="0"/>
          <w:sz w:val="24"/>
          <w:szCs w:val="24"/>
        </w:rPr>
        <w:t>z</w:t>
      </w:r>
      <w:r>
        <w:rPr>
          <w:rFonts w:ascii="Arial" w:hAnsi="Arial" w:cs="Arial"/>
          <w:b w:val="0"/>
          <w:sz w:val="24"/>
          <w:szCs w:val="24"/>
        </w:rPr>
        <w:t>ejména z</w:t>
      </w:r>
      <w:r w:rsidRPr="00441AE0">
        <w:rPr>
          <w:rFonts w:ascii="Arial" w:hAnsi="Arial" w:cs="Arial"/>
          <w:b w:val="0"/>
          <w:sz w:val="24"/>
          <w:szCs w:val="24"/>
        </w:rPr>
        <w:t xml:space="preserve"> důvodu </w:t>
      </w:r>
      <w:r>
        <w:rPr>
          <w:rFonts w:ascii="Arial" w:hAnsi="Arial" w:cs="Arial"/>
          <w:b w:val="0"/>
          <w:sz w:val="24"/>
          <w:szCs w:val="24"/>
        </w:rPr>
        <w:t>provádění průzkumných prací ve vytipovaných lokalitách pro umístění hlubinného úložiště. Pro jejich provádění je však potřeba zajistit splnění řady podmínek, které Správa nemůže významně ovlivnit. Jedná se zejména o prodloužení plat</w:t>
      </w:r>
      <w:r w:rsidR="00DE521B">
        <w:rPr>
          <w:rFonts w:ascii="Arial" w:hAnsi="Arial" w:cs="Arial"/>
          <w:b w:val="0"/>
          <w:sz w:val="24"/>
          <w:szCs w:val="24"/>
        </w:rPr>
        <w:t>n</w:t>
      </w:r>
      <w:r>
        <w:rPr>
          <w:rFonts w:ascii="Arial" w:hAnsi="Arial" w:cs="Arial"/>
          <w:b w:val="0"/>
          <w:sz w:val="24"/>
          <w:szCs w:val="24"/>
        </w:rPr>
        <w:t xml:space="preserve">osti rozhodnutí MŽP o průzkumných územích a dokončení výběrových řízení na dodavatele geologicko- průzkumných prací. V případě, že tyto podmínky nebudou zajištěny, Správa nebude rozpočtované prostředky čerpat. Vzhledem k ustanovení § 113 odst. 3 zákona č. 263/2016, atomový zákon, které stanovuje, že z nevyčerpaných rozpočtových prostředků nevznikají Správě nároky z nespotřebovaných výdajů, </w:t>
      </w:r>
      <w:r w:rsidR="00E17415">
        <w:rPr>
          <w:rFonts w:ascii="Arial" w:hAnsi="Arial" w:cs="Arial"/>
          <w:b w:val="0"/>
          <w:sz w:val="24"/>
          <w:szCs w:val="24"/>
        </w:rPr>
        <w:t>nemá případné nedočerpání rozpočtových prostřed</w:t>
      </w:r>
      <w:r w:rsidR="00DE521B">
        <w:rPr>
          <w:rFonts w:ascii="Arial" w:hAnsi="Arial" w:cs="Arial"/>
          <w:b w:val="0"/>
          <w:sz w:val="24"/>
          <w:szCs w:val="24"/>
        </w:rPr>
        <w:t>k</w:t>
      </w:r>
      <w:r w:rsidR="00E17415">
        <w:rPr>
          <w:rFonts w:ascii="Arial" w:hAnsi="Arial" w:cs="Arial"/>
          <w:b w:val="0"/>
          <w:sz w:val="24"/>
          <w:szCs w:val="24"/>
        </w:rPr>
        <w:t xml:space="preserve">ů reálný dopad na čerpání rozpočtových prostředků příštích období. V souladu s rozpočtovými pravidly pak může Správa při zpoždění v realizaci geologicko-průzkumných prací provést rozpočtová opatření pro krytí jiných v daném roce rozpočtově nezajištěných či nepředpokládaných potřeb. V roce 2017 tak např. může přicházet v úvahu provedení úplatného převodu práva hospodaření s majetkem státu k budově </w:t>
      </w:r>
      <w:r w:rsidR="00E17415" w:rsidRPr="00E17415">
        <w:rPr>
          <w:rFonts w:ascii="Arial" w:hAnsi="Arial" w:cs="Arial"/>
          <w:b w:val="0"/>
          <w:sz w:val="24"/>
          <w:szCs w:val="24"/>
        </w:rPr>
        <w:t>Na Florenci 7-9</w:t>
      </w:r>
      <w:r w:rsidR="00E17415">
        <w:rPr>
          <w:rFonts w:ascii="Arial" w:hAnsi="Arial" w:cs="Arial"/>
          <w:b w:val="0"/>
          <w:sz w:val="24"/>
          <w:szCs w:val="24"/>
        </w:rPr>
        <w:t xml:space="preserve"> (viz kapitola 5).</w:t>
      </w:r>
    </w:p>
    <w:p w:rsidR="00DA0B00" w:rsidRPr="002E33C8" w:rsidRDefault="00DA0B00" w:rsidP="00DA0B00">
      <w:pPr>
        <w:pStyle w:val="Nadpis1"/>
        <w:rPr>
          <w:rFonts w:ascii="Arial" w:hAnsi="Arial" w:cs="Arial"/>
        </w:rPr>
      </w:pPr>
      <w:r w:rsidRPr="002E33C8">
        <w:rPr>
          <w:rFonts w:ascii="Arial" w:hAnsi="Arial" w:cs="Arial"/>
        </w:rPr>
        <w:t>Dlouhodobý plán činnosti</w:t>
      </w:r>
      <w:bookmarkEnd w:id="151"/>
      <w:bookmarkEnd w:id="152"/>
      <w:bookmarkEnd w:id="153"/>
      <w:bookmarkEnd w:id="154"/>
    </w:p>
    <w:p w:rsidR="00DA0B00" w:rsidRPr="002E33C8" w:rsidRDefault="00DA0B00" w:rsidP="00DA0B00">
      <w:pPr>
        <w:pStyle w:val="Normlnsmezerou0"/>
        <w:numPr>
          <w:ilvl w:val="12"/>
          <w:numId w:val="0"/>
        </w:numPr>
        <w:spacing w:before="0" w:after="0"/>
      </w:pPr>
    </w:p>
    <w:p w:rsidR="00DA0B00" w:rsidRPr="002E33C8" w:rsidRDefault="00DA0B00" w:rsidP="00DA0B00">
      <w:pPr>
        <w:pStyle w:val="Normlnsmezerou0"/>
        <w:numPr>
          <w:ilvl w:val="12"/>
          <w:numId w:val="0"/>
        </w:numPr>
        <w:spacing w:before="0" w:after="0"/>
      </w:pPr>
      <w:r w:rsidRPr="002E33C8">
        <w:tab/>
        <w:t>Dlouhodobý plán činnosti vychází z Koncepce nakládání s RAO a VJP</w:t>
      </w:r>
      <w:r>
        <w:t xml:space="preserve"> </w:t>
      </w:r>
      <w:r w:rsidRPr="002E33C8">
        <w:t xml:space="preserve">v ČR a upřesňuje zejména milníky činností související s přípravou </w:t>
      </w:r>
      <w:r>
        <w:t>HÚ</w:t>
      </w:r>
      <w:r w:rsidRPr="002E33C8">
        <w:t xml:space="preserve"> v ČR, které by mělo být uvedeno do provozu v roce 2065 a které bude schopno přijímat všechny kategorie radioaktivních odpadů.</w:t>
      </w:r>
    </w:p>
    <w:p w:rsidR="00DA0B00" w:rsidRPr="002E33C8" w:rsidRDefault="00DA0B00" w:rsidP="00DA0B00">
      <w:pPr>
        <w:pStyle w:val="Normlnsmezerou0"/>
        <w:numPr>
          <w:ilvl w:val="12"/>
          <w:numId w:val="0"/>
        </w:numPr>
        <w:spacing w:before="0" w:after="0"/>
      </w:pPr>
    </w:p>
    <w:p w:rsidR="00DA0B00" w:rsidRPr="002E33C8" w:rsidRDefault="00DA0B00" w:rsidP="00DA0B00">
      <w:pPr>
        <w:pStyle w:val="Nadpis2"/>
        <w:rPr>
          <w:rFonts w:ascii="Arial" w:hAnsi="Arial" w:cs="Arial"/>
        </w:rPr>
      </w:pPr>
      <w:bookmarkStart w:id="155" w:name="_Toc515325901"/>
      <w:bookmarkStart w:id="156" w:name="_Toc520184567"/>
      <w:bookmarkStart w:id="157" w:name="_Toc175555906"/>
      <w:bookmarkStart w:id="158" w:name="_Toc453575875"/>
      <w:r w:rsidRPr="002E33C8">
        <w:rPr>
          <w:rFonts w:ascii="Arial" w:hAnsi="Arial" w:cs="Arial"/>
        </w:rPr>
        <w:t>Ukládání N</w:t>
      </w:r>
      <w:r>
        <w:rPr>
          <w:rFonts w:ascii="Arial" w:hAnsi="Arial" w:cs="Arial"/>
        </w:rPr>
        <w:t>SR</w:t>
      </w:r>
      <w:r w:rsidRPr="002E33C8">
        <w:rPr>
          <w:rFonts w:ascii="Arial" w:hAnsi="Arial" w:cs="Arial"/>
        </w:rPr>
        <w:t>AO</w:t>
      </w:r>
      <w:bookmarkEnd w:id="155"/>
      <w:bookmarkEnd w:id="156"/>
      <w:bookmarkEnd w:id="157"/>
      <w:bookmarkEnd w:id="158"/>
    </w:p>
    <w:p w:rsidR="00DA0B00" w:rsidRPr="002E33C8" w:rsidRDefault="00DA0B00" w:rsidP="00DA0B00">
      <w:pPr>
        <w:rPr>
          <w:rFonts w:ascii="Arial" w:hAnsi="Arial" w:cs="Arial"/>
        </w:rPr>
      </w:pPr>
    </w:p>
    <w:p w:rsidR="00DA0B00" w:rsidRPr="00304712" w:rsidRDefault="00DA0B00" w:rsidP="00DA0B00">
      <w:pPr>
        <w:ind w:firstLine="708"/>
        <w:rPr>
          <w:rFonts w:ascii="Arial" w:hAnsi="Arial" w:cs="Arial"/>
        </w:rPr>
      </w:pPr>
      <w:r w:rsidRPr="00304712">
        <w:rPr>
          <w:rFonts w:ascii="Arial" w:hAnsi="Arial" w:cs="Arial"/>
        </w:rPr>
        <w:t>Provoz všech úložišť pro ukládání NS</w:t>
      </w:r>
      <w:r>
        <w:rPr>
          <w:rFonts w:ascii="Arial" w:hAnsi="Arial" w:cs="Arial"/>
        </w:rPr>
        <w:t>R</w:t>
      </w:r>
      <w:r w:rsidRPr="00304712">
        <w:rPr>
          <w:rFonts w:ascii="Arial" w:hAnsi="Arial" w:cs="Arial"/>
        </w:rPr>
        <w:t xml:space="preserve">AO (Dukovany, Richard, Bratrství) včetně monitorování již uzavřeného úložiště Hostim je a bude zajišťován Správou v souladu s příslušnými povoleními SÚJB, v případě důlních děl i v souladu s oprávněními a povoleními podle báňských předpisů. </w:t>
      </w:r>
    </w:p>
    <w:p w:rsidR="00DA0B00" w:rsidRPr="00304712" w:rsidRDefault="00DA0B00" w:rsidP="00DA0B00">
      <w:pPr>
        <w:ind w:firstLine="708"/>
        <w:rPr>
          <w:rFonts w:ascii="Arial" w:hAnsi="Arial" w:cs="Arial"/>
        </w:rPr>
      </w:pPr>
      <w:r w:rsidRPr="00304712">
        <w:rPr>
          <w:rFonts w:ascii="Arial" w:hAnsi="Arial" w:cs="Arial"/>
        </w:rPr>
        <w:t xml:space="preserve">Kapacita úložiště Richard je při stávající produkci RAO dostatečná ve výhledu deseti let. Bude nutno </w:t>
      </w:r>
      <w:r>
        <w:rPr>
          <w:rFonts w:ascii="Arial" w:hAnsi="Arial" w:cs="Arial"/>
        </w:rPr>
        <w:t xml:space="preserve">realizovat výsledky provedených </w:t>
      </w:r>
      <w:r w:rsidRPr="00304712">
        <w:rPr>
          <w:rFonts w:ascii="Arial" w:hAnsi="Arial" w:cs="Arial"/>
        </w:rPr>
        <w:t>studi</w:t>
      </w:r>
      <w:r>
        <w:rPr>
          <w:rFonts w:ascii="Arial" w:hAnsi="Arial" w:cs="Arial"/>
        </w:rPr>
        <w:t>í</w:t>
      </w:r>
      <w:r w:rsidRPr="00304712">
        <w:rPr>
          <w:rFonts w:ascii="Arial" w:hAnsi="Arial" w:cs="Arial"/>
        </w:rPr>
        <w:t xml:space="preserve"> proveditelnosti</w:t>
      </w:r>
      <w:r>
        <w:rPr>
          <w:rFonts w:ascii="Arial" w:hAnsi="Arial" w:cs="Arial"/>
        </w:rPr>
        <w:t xml:space="preserve">, podložené </w:t>
      </w:r>
      <w:r w:rsidRPr="00304712">
        <w:rPr>
          <w:rFonts w:ascii="Arial" w:hAnsi="Arial" w:cs="Arial"/>
        </w:rPr>
        <w:t>bezpečnostní</w:t>
      </w:r>
      <w:r>
        <w:rPr>
          <w:rFonts w:ascii="Arial" w:hAnsi="Arial" w:cs="Arial"/>
        </w:rPr>
        <w:t>mi</w:t>
      </w:r>
      <w:r w:rsidRPr="00304712">
        <w:rPr>
          <w:rFonts w:ascii="Arial" w:hAnsi="Arial" w:cs="Arial"/>
        </w:rPr>
        <w:t xml:space="preserve"> rozbory</w:t>
      </w:r>
      <w:r>
        <w:rPr>
          <w:rFonts w:ascii="Arial" w:hAnsi="Arial" w:cs="Arial"/>
        </w:rPr>
        <w:t xml:space="preserve"> pro vybudování dalších úložných prostor.</w:t>
      </w:r>
      <w:r w:rsidRPr="00304712">
        <w:rPr>
          <w:rFonts w:ascii="Arial" w:hAnsi="Arial" w:cs="Arial"/>
        </w:rPr>
        <w:t xml:space="preserve"> Kapacita úložiště Bratrství je v současné době vyčerpána z</w:t>
      </w:r>
      <w:r>
        <w:rPr>
          <w:rFonts w:ascii="Arial" w:hAnsi="Arial" w:cs="Arial"/>
        </w:rPr>
        <w:t> </w:t>
      </w:r>
      <w:r w:rsidRPr="00304712">
        <w:rPr>
          <w:rFonts w:ascii="Arial" w:hAnsi="Arial" w:cs="Arial"/>
        </w:rPr>
        <w:t>90</w:t>
      </w:r>
      <w:r>
        <w:rPr>
          <w:rFonts w:ascii="Arial" w:hAnsi="Arial" w:cs="Arial"/>
        </w:rPr>
        <w:t xml:space="preserve"> </w:t>
      </w:r>
      <w:r w:rsidRPr="00304712">
        <w:rPr>
          <w:rFonts w:ascii="Arial" w:hAnsi="Arial" w:cs="Arial"/>
        </w:rPr>
        <w:t xml:space="preserve">% a budou zahájeny přípravné práce pro jeho uzavření. </w:t>
      </w:r>
    </w:p>
    <w:p w:rsidR="00DA0B00" w:rsidRPr="002E33C8" w:rsidRDefault="00DA0B00" w:rsidP="00DA0B00">
      <w:pPr>
        <w:ind w:firstLine="708"/>
        <w:rPr>
          <w:rFonts w:ascii="Arial" w:hAnsi="Arial" w:cs="Arial"/>
        </w:rPr>
      </w:pPr>
      <w:r w:rsidRPr="00304712">
        <w:rPr>
          <w:rFonts w:ascii="Arial" w:hAnsi="Arial" w:cs="Arial"/>
        </w:rPr>
        <w:t>Všechny výše uvedené aktivity s sebou přinesou zvýšené nároky na rozpočet</w:t>
      </w:r>
      <w:r w:rsidR="00DF0E7C">
        <w:rPr>
          <w:rFonts w:ascii="Arial" w:hAnsi="Arial" w:cs="Arial"/>
        </w:rPr>
        <w:t xml:space="preserve"> ÚRAO Richard a Bratrství </w:t>
      </w:r>
      <w:r w:rsidRPr="002E33C8">
        <w:rPr>
          <w:rFonts w:ascii="Arial" w:hAnsi="Arial" w:cs="Arial"/>
        </w:rPr>
        <w:t>od roku 201</w:t>
      </w:r>
      <w:r w:rsidR="00F36BA6">
        <w:rPr>
          <w:rFonts w:ascii="Arial" w:hAnsi="Arial" w:cs="Arial"/>
        </w:rPr>
        <w:t>8</w:t>
      </w:r>
      <w:r w:rsidRPr="002E33C8">
        <w:rPr>
          <w:rFonts w:ascii="Arial" w:hAnsi="Arial" w:cs="Arial"/>
        </w:rPr>
        <w:t xml:space="preserve">. Náklady na běžný provoz úložišť </w:t>
      </w:r>
      <w:r>
        <w:rPr>
          <w:rFonts w:ascii="Arial" w:hAnsi="Arial" w:cs="Arial"/>
        </w:rPr>
        <w:t xml:space="preserve">včetně příspěvku obcím </w:t>
      </w:r>
      <w:r w:rsidRPr="002E33C8">
        <w:rPr>
          <w:rFonts w:ascii="Arial" w:hAnsi="Arial" w:cs="Arial"/>
        </w:rPr>
        <w:t xml:space="preserve">se pohybují ve výši cca </w:t>
      </w:r>
      <w:r>
        <w:rPr>
          <w:rFonts w:ascii="Arial" w:hAnsi="Arial" w:cs="Arial"/>
        </w:rPr>
        <w:t>5</w:t>
      </w:r>
      <w:r w:rsidR="00DF0E7C">
        <w:rPr>
          <w:rFonts w:ascii="Arial" w:hAnsi="Arial" w:cs="Arial"/>
        </w:rPr>
        <w:t>5</w:t>
      </w:r>
      <w:r w:rsidRPr="002E33C8">
        <w:rPr>
          <w:rFonts w:ascii="Arial" w:hAnsi="Arial" w:cs="Arial"/>
        </w:rPr>
        <w:t xml:space="preserve"> mil. Kč ročně a budou každoročně upřesňovány. Pro úložiště Richard a Bratrství se počítá s poskytováním příspěvku z kapitoly MPO k zajištění bezpečného provozu v souladu s atomovým zákonem. </w:t>
      </w:r>
    </w:p>
    <w:p w:rsidR="00DA0B00" w:rsidRPr="002E33C8" w:rsidRDefault="00DA0B00" w:rsidP="00DA0B00">
      <w:pPr>
        <w:rPr>
          <w:rFonts w:ascii="Arial" w:hAnsi="Arial" w:cs="Arial"/>
        </w:rPr>
      </w:pPr>
      <w:bookmarkStart w:id="159" w:name="_Toc515325902"/>
    </w:p>
    <w:p w:rsidR="00DA0B00" w:rsidRPr="002E33C8" w:rsidRDefault="00DA0B00" w:rsidP="00DA0B00">
      <w:pPr>
        <w:pStyle w:val="Nadpis2"/>
        <w:rPr>
          <w:rFonts w:ascii="Arial" w:hAnsi="Arial" w:cs="Arial"/>
        </w:rPr>
      </w:pPr>
      <w:bookmarkStart w:id="160" w:name="_Toc520184568"/>
      <w:bookmarkStart w:id="161" w:name="_Toc175555907"/>
      <w:bookmarkStart w:id="162" w:name="_Toc453575876"/>
      <w:r w:rsidRPr="002E33C8">
        <w:rPr>
          <w:rFonts w:ascii="Arial" w:hAnsi="Arial" w:cs="Arial"/>
        </w:rPr>
        <w:t>Ukládání VAO/VJP</w:t>
      </w:r>
      <w:bookmarkEnd w:id="159"/>
      <w:bookmarkEnd w:id="160"/>
      <w:bookmarkEnd w:id="161"/>
      <w:bookmarkEnd w:id="162"/>
    </w:p>
    <w:p w:rsidR="00DA0B00" w:rsidRPr="002E33C8" w:rsidRDefault="00DA0B00" w:rsidP="00DA0B00">
      <w:pPr>
        <w:pStyle w:val="Normlnsmezerou0"/>
        <w:numPr>
          <w:ilvl w:val="12"/>
          <w:numId w:val="0"/>
        </w:numPr>
        <w:spacing w:before="0" w:after="0"/>
      </w:pPr>
    </w:p>
    <w:p w:rsidR="00DA0B00" w:rsidRPr="002E33C8" w:rsidRDefault="00DA0B00" w:rsidP="00DA0B00">
      <w:pPr>
        <w:pStyle w:val="Normlnsmezerou0"/>
        <w:numPr>
          <w:ilvl w:val="12"/>
          <w:numId w:val="0"/>
        </w:numPr>
        <w:spacing w:before="0" w:after="0"/>
        <w:ind w:firstLine="708"/>
      </w:pPr>
      <w:r w:rsidRPr="002E33C8">
        <w:t>Pro splnění cíle Koncepce nakládání s RAO a VJP</w:t>
      </w:r>
      <w:r>
        <w:t xml:space="preserve"> v ČR a její aktualizace</w:t>
      </w:r>
      <w:r w:rsidRPr="002E33C8">
        <w:t>, tj. zařazení dvou kandidátních lokalit do územních plánů, je nutnou podmínkou vydání příslušných rozhodnutí o průzkumných územích (MŽP) a provedení geologických průzkumů. Správa plánuje zahájení geologického průzkumu od roku 201</w:t>
      </w:r>
      <w:r>
        <w:t>6</w:t>
      </w:r>
      <w:r w:rsidRPr="002E33C8">
        <w:t xml:space="preserve"> na všech vytipovaných lokalitách. Práce budou probíhat tak, aby bylo získáno dostatečné množství dat k upřesnění geologického prostředí lokality a jednotlivé zkoumané lokality mohly být vyhodnoceny z hlediska proveditelnosti HÚ, ekonomické náročnosti a především z hlediska bezpečnosti. Následně budou </w:t>
      </w:r>
      <w:r>
        <w:t>do roku 2020</w:t>
      </w:r>
      <w:r w:rsidRPr="002E33C8">
        <w:t xml:space="preserve"> vybrány 2</w:t>
      </w:r>
      <w:r>
        <w:t> </w:t>
      </w:r>
      <w:r w:rsidRPr="002E33C8">
        <w:t>kandidátní lokality</w:t>
      </w:r>
      <w:r>
        <w:t>, i</w:t>
      </w:r>
      <w:r w:rsidRPr="002E33C8">
        <w:t xml:space="preserve"> na základě přijatelnosti řešení dotčenými obcemi a dalších kritérií. Podrobná charakterizace na vybraných kandidátních lokalitách bude prováděna po roce 20</w:t>
      </w:r>
      <w:r>
        <w:t>20</w:t>
      </w:r>
      <w:r w:rsidRPr="002E33C8">
        <w:t>.</w:t>
      </w:r>
    </w:p>
    <w:p w:rsidR="0041258A" w:rsidRPr="002E33C8" w:rsidRDefault="0041258A" w:rsidP="00DA0B00">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1274"/>
        <w:gridCol w:w="3410"/>
      </w:tblGrid>
      <w:tr w:rsidR="00DA0B00" w:rsidRPr="00304712" w:rsidTr="001D312A">
        <w:trPr>
          <w:trHeight w:val="20"/>
        </w:trPr>
        <w:tc>
          <w:tcPr>
            <w:tcW w:w="4395" w:type="dxa"/>
            <w:shd w:val="clear" w:color="auto" w:fill="auto"/>
          </w:tcPr>
          <w:p w:rsidR="00DA0B00" w:rsidRPr="00304712" w:rsidRDefault="00DA0B00" w:rsidP="001D312A">
            <w:pPr>
              <w:rPr>
                <w:rFonts w:ascii="Arial" w:hAnsi="Arial" w:cs="Arial"/>
                <w:b/>
                <w:sz w:val="22"/>
                <w:szCs w:val="22"/>
              </w:rPr>
            </w:pPr>
            <w:r w:rsidRPr="00304712">
              <w:rPr>
                <w:rFonts w:ascii="Arial" w:hAnsi="Arial" w:cs="Arial"/>
                <w:b/>
                <w:sz w:val="22"/>
                <w:szCs w:val="22"/>
              </w:rPr>
              <w:t>Název fáze</w:t>
            </w:r>
          </w:p>
        </w:tc>
        <w:tc>
          <w:tcPr>
            <w:tcW w:w="1275" w:type="dxa"/>
            <w:shd w:val="clear" w:color="auto" w:fill="auto"/>
          </w:tcPr>
          <w:p w:rsidR="00DA0B00" w:rsidRPr="00304712" w:rsidRDefault="00DA0B00" w:rsidP="001D312A">
            <w:pPr>
              <w:rPr>
                <w:rFonts w:ascii="Arial" w:hAnsi="Arial" w:cs="Arial"/>
                <w:b/>
                <w:sz w:val="22"/>
                <w:szCs w:val="22"/>
              </w:rPr>
            </w:pPr>
            <w:r w:rsidRPr="00304712">
              <w:rPr>
                <w:rFonts w:ascii="Arial" w:hAnsi="Arial" w:cs="Arial"/>
                <w:b/>
                <w:sz w:val="22"/>
                <w:szCs w:val="22"/>
              </w:rPr>
              <w:t>Termín</w:t>
            </w:r>
          </w:p>
        </w:tc>
        <w:tc>
          <w:tcPr>
            <w:tcW w:w="3510" w:type="dxa"/>
            <w:shd w:val="clear" w:color="auto" w:fill="auto"/>
          </w:tcPr>
          <w:p w:rsidR="00DA0B00" w:rsidRPr="00304712" w:rsidRDefault="00DA0B00" w:rsidP="001D312A">
            <w:pPr>
              <w:rPr>
                <w:rFonts w:ascii="Arial" w:hAnsi="Arial" w:cs="Arial"/>
                <w:b/>
                <w:sz w:val="22"/>
                <w:szCs w:val="22"/>
              </w:rPr>
            </w:pPr>
            <w:r w:rsidRPr="00304712">
              <w:rPr>
                <w:rFonts w:ascii="Arial" w:hAnsi="Arial" w:cs="Arial"/>
                <w:b/>
                <w:sz w:val="22"/>
                <w:szCs w:val="22"/>
              </w:rPr>
              <w:t>Výstup</w:t>
            </w:r>
          </w:p>
        </w:tc>
      </w:tr>
      <w:tr w:rsidR="00DA0B00" w:rsidRPr="00304712" w:rsidTr="001D312A">
        <w:trPr>
          <w:trHeight w:val="20"/>
        </w:trPr>
        <w:tc>
          <w:tcPr>
            <w:tcW w:w="4395" w:type="dxa"/>
            <w:shd w:val="clear" w:color="auto" w:fill="auto"/>
          </w:tcPr>
          <w:p w:rsidR="00DA0B00" w:rsidRPr="00304712" w:rsidRDefault="00DA0B00" w:rsidP="001D312A">
            <w:pPr>
              <w:jc w:val="left"/>
              <w:rPr>
                <w:rFonts w:ascii="Arial" w:hAnsi="Arial" w:cs="Arial"/>
                <w:sz w:val="22"/>
                <w:szCs w:val="22"/>
              </w:rPr>
            </w:pPr>
            <w:r w:rsidRPr="00304712">
              <w:rPr>
                <w:rFonts w:ascii="Arial" w:hAnsi="Arial" w:cs="Arial"/>
                <w:sz w:val="22"/>
                <w:szCs w:val="22"/>
              </w:rPr>
              <w:t xml:space="preserve">Fáze 1: </w:t>
            </w:r>
            <w:r>
              <w:rPr>
                <w:rFonts w:ascii="Arial" w:hAnsi="Arial" w:cs="Arial"/>
                <w:sz w:val="22"/>
                <w:szCs w:val="22"/>
              </w:rPr>
              <w:t>A</w:t>
            </w:r>
            <w:r w:rsidRPr="00304712">
              <w:rPr>
                <w:rFonts w:ascii="Arial" w:hAnsi="Arial" w:cs="Arial"/>
                <w:sz w:val="22"/>
                <w:szCs w:val="22"/>
              </w:rPr>
              <w:t>nalýz</w:t>
            </w:r>
            <w:r>
              <w:rPr>
                <w:rFonts w:ascii="Arial" w:hAnsi="Arial" w:cs="Arial"/>
                <w:sz w:val="22"/>
                <w:szCs w:val="22"/>
              </w:rPr>
              <w:t>a</w:t>
            </w:r>
            <w:r w:rsidRPr="00304712">
              <w:rPr>
                <w:rFonts w:ascii="Arial" w:hAnsi="Arial" w:cs="Arial"/>
                <w:sz w:val="22"/>
                <w:szCs w:val="22"/>
              </w:rPr>
              <w:t xml:space="preserve"> existujících geologických dat z lokalit, provádění geologických výzkumných a průzkumných prací </w:t>
            </w:r>
            <w:r>
              <w:rPr>
                <w:rFonts w:ascii="Arial" w:hAnsi="Arial" w:cs="Arial"/>
                <w:sz w:val="22"/>
                <w:szCs w:val="22"/>
              </w:rPr>
              <w:t>bez zásahu do zemské kůry</w:t>
            </w:r>
            <w:r w:rsidRPr="00304712">
              <w:rPr>
                <w:rFonts w:ascii="Arial" w:hAnsi="Arial" w:cs="Arial"/>
                <w:sz w:val="22"/>
                <w:szCs w:val="22"/>
              </w:rPr>
              <w:t xml:space="preserve"> a provádění bezpečnostních, projektových, environmentálních a socio-ekonomických hodnocení.</w:t>
            </w:r>
          </w:p>
        </w:tc>
        <w:tc>
          <w:tcPr>
            <w:tcW w:w="1275" w:type="dxa"/>
            <w:shd w:val="clear" w:color="auto" w:fill="auto"/>
          </w:tcPr>
          <w:p w:rsidR="00DA0B00" w:rsidRPr="00304712" w:rsidRDefault="00DA0B00" w:rsidP="001D312A">
            <w:pPr>
              <w:jc w:val="center"/>
              <w:rPr>
                <w:rFonts w:ascii="Arial" w:hAnsi="Arial" w:cs="Arial"/>
                <w:sz w:val="22"/>
                <w:szCs w:val="22"/>
              </w:rPr>
            </w:pPr>
            <w:r w:rsidRPr="00304712">
              <w:rPr>
                <w:rFonts w:ascii="Arial" w:hAnsi="Arial" w:cs="Arial"/>
                <w:sz w:val="22"/>
                <w:szCs w:val="22"/>
              </w:rPr>
              <w:t>201</w:t>
            </w:r>
            <w:r>
              <w:rPr>
                <w:rFonts w:ascii="Arial" w:hAnsi="Arial" w:cs="Arial"/>
                <w:sz w:val="22"/>
                <w:szCs w:val="22"/>
              </w:rPr>
              <w:t>7/2018</w:t>
            </w:r>
          </w:p>
        </w:tc>
        <w:tc>
          <w:tcPr>
            <w:tcW w:w="3510" w:type="dxa"/>
            <w:shd w:val="clear" w:color="auto" w:fill="auto"/>
          </w:tcPr>
          <w:p w:rsidR="00DA0B00" w:rsidRPr="00304712" w:rsidRDefault="00DA0B00" w:rsidP="001D312A">
            <w:pPr>
              <w:jc w:val="left"/>
              <w:rPr>
                <w:rFonts w:ascii="Arial" w:hAnsi="Arial" w:cs="Arial"/>
                <w:sz w:val="22"/>
                <w:szCs w:val="22"/>
              </w:rPr>
            </w:pPr>
            <w:r w:rsidRPr="00304712">
              <w:rPr>
                <w:rFonts w:ascii="Arial" w:hAnsi="Arial" w:cs="Arial"/>
                <w:sz w:val="22"/>
                <w:szCs w:val="22"/>
              </w:rPr>
              <w:t xml:space="preserve">Upřesnění potřeby geologických prací pro další výzkum a průzkum, podklady pro hodnocení lokalit a případné vyloučení lokalit nevhodných pro umístění HÚ. </w:t>
            </w:r>
            <w:r>
              <w:rPr>
                <w:rFonts w:ascii="Arial" w:hAnsi="Arial" w:cs="Arial"/>
                <w:sz w:val="22"/>
                <w:szCs w:val="22"/>
              </w:rPr>
              <w:t>Zpracování plánu technických prací se zásahem do zemské kůry.</w:t>
            </w:r>
          </w:p>
        </w:tc>
      </w:tr>
      <w:tr w:rsidR="00DA0B00" w:rsidRPr="00304712" w:rsidTr="001D312A">
        <w:trPr>
          <w:trHeight w:val="20"/>
        </w:trPr>
        <w:tc>
          <w:tcPr>
            <w:tcW w:w="4395" w:type="dxa"/>
            <w:shd w:val="clear" w:color="auto" w:fill="auto"/>
          </w:tcPr>
          <w:p w:rsidR="00DA0B00" w:rsidRPr="00304712" w:rsidRDefault="00DA0B00" w:rsidP="001D312A">
            <w:pPr>
              <w:jc w:val="left"/>
              <w:rPr>
                <w:rFonts w:ascii="Arial" w:hAnsi="Arial" w:cs="Arial"/>
                <w:sz w:val="22"/>
                <w:szCs w:val="22"/>
              </w:rPr>
            </w:pPr>
            <w:r w:rsidRPr="00304712">
              <w:rPr>
                <w:rFonts w:ascii="Arial" w:hAnsi="Arial" w:cs="Arial"/>
                <w:sz w:val="22"/>
                <w:szCs w:val="22"/>
              </w:rPr>
              <w:t xml:space="preserve">Fáze 2: Provádění výzkumných </w:t>
            </w:r>
            <w:r w:rsidRPr="00304712">
              <w:rPr>
                <w:rFonts w:ascii="Arial" w:hAnsi="Arial" w:cs="Arial"/>
                <w:sz w:val="22"/>
                <w:szCs w:val="22"/>
              </w:rPr>
              <w:br/>
              <w:t>a geologických prací včetně hlubinných vrtů, zpracování studií pro hodnocení lokalit.</w:t>
            </w:r>
          </w:p>
        </w:tc>
        <w:tc>
          <w:tcPr>
            <w:tcW w:w="1275" w:type="dxa"/>
            <w:shd w:val="clear" w:color="auto" w:fill="auto"/>
          </w:tcPr>
          <w:p w:rsidR="00DA0B00" w:rsidRPr="00304712" w:rsidRDefault="00DA0B00" w:rsidP="001D312A">
            <w:pPr>
              <w:jc w:val="center"/>
              <w:rPr>
                <w:rFonts w:ascii="Arial" w:hAnsi="Arial" w:cs="Arial"/>
                <w:sz w:val="22"/>
                <w:szCs w:val="22"/>
                <w:vertAlign w:val="superscript"/>
              </w:rPr>
            </w:pPr>
            <w:r w:rsidRPr="00304712">
              <w:rPr>
                <w:rFonts w:ascii="Arial" w:hAnsi="Arial" w:cs="Arial"/>
                <w:sz w:val="22"/>
                <w:szCs w:val="22"/>
              </w:rPr>
              <w:t>20</w:t>
            </w:r>
            <w:r>
              <w:rPr>
                <w:rFonts w:ascii="Arial" w:hAnsi="Arial" w:cs="Arial"/>
                <w:sz w:val="22"/>
                <w:szCs w:val="22"/>
              </w:rPr>
              <w:t>20</w:t>
            </w:r>
          </w:p>
        </w:tc>
        <w:tc>
          <w:tcPr>
            <w:tcW w:w="3510" w:type="dxa"/>
            <w:shd w:val="clear" w:color="auto" w:fill="auto"/>
          </w:tcPr>
          <w:p w:rsidR="00DA0B00" w:rsidRPr="00304712" w:rsidRDefault="00DA0B00" w:rsidP="001D312A">
            <w:pPr>
              <w:jc w:val="left"/>
              <w:rPr>
                <w:rFonts w:ascii="Arial" w:hAnsi="Arial" w:cs="Arial"/>
                <w:sz w:val="22"/>
                <w:szCs w:val="22"/>
              </w:rPr>
            </w:pPr>
            <w:r w:rsidRPr="00304712">
              <w:rPr>
                <w:rFonts w:ascii="Arial" w:hAnsi="Arial" w:cs="Arial"/>
                <w:sz w:val="22"/>
                <w:szCs w:val="22"/>
              </w:rPr>
              <w:t>Doporučení vládě ČR minimálně 2 lokalit pro podrobnější charakterizaci lokalit se stanovisky dotčených obcí.</w:t>
            </w:r>
          </w:p>
        </w:tc>
      </w:tr>
      <w:tr w:rsidR="00DA0B00" w:rsidRPr="00304712" w:rsidTr="001D312A">
        <w:trPr>
          <w:trHeight w:val="20"/>
        </w:trPr>
        <w:tc>
          <w:tcPr>
            <w:tcW w:w="4395" w:type="dxa"/>
            <w:shd w:val="clear" w:color="auto" w:fill="auto"/>
          </w:tcPr>
          <w:p w:rsidR="00DA0B00" w:rsidRPr="00304712" w:rsidRDefault="00DA0B00" w:rsidP="001D312A">
            <w:pPr>
              <w:jc w:val="left"/>
              <w:rPr>
                <w:rFonts w:ascii="Arial" w:hAnsi="Arial" w:cs="Arial"/>
                <w:sz w:val="22"/>
                <w:szCs w:val="22"/>
              </w:rPr>
            </w:pPr>
            <w:r w:rsidRPr="00304712">
              <w:rPr>
                <w:rFonts w:ascii="Arial" w:hAnsi="Arial" w:cs="Arial"/>
                <w:sz w:val="22"/>
                <w:szCs w:val="22"/>
              </w:rPr>
              <w:t xml:space="preserve">Fáze 3: Potvrzení minimálně dvou lokalit na základě geologického průzkumu vybraných lokalit a zpracování bezpečnostní a projektové dokumentace. </w:t>
            </w:r>
          </w:p>
        </w:tc>
        <w:tc>
          <w:tcPr>
            <w:tcW w:w="1275" w:type="dxa"/>
            <w:shd w:val="clear" w:color="auto" w:fill="auto"/>
          </w:tcPr>
          <w:p w:rsidR="00DA0B00" w:rsidRPr="00304712" w:rsidRDefault="00DA0B00" w:rsidP="001D312A">
            <w:pPr>
              <w:jc w:val="center"/>
              <w:rPr>
                <w:rFonts w:ascii="Arial" w:hAnsi="Arial" w:cs="Arial"/>
                <w:sz w:val="22"/>
                <w:szCs w:val="22"/>
              </w:rPr>
            </w:pPr>
            <w:r w:rsidRPr="00304712">
              <w:rPr>
                <w:rFonts w:ascii="Arial" w:hAnsi="Arial" w:cs="Arial"/>
                <w:sz w:val="22"/>
                <w:szCs w:val="22"/>
              </w:rPr>
              <w:t>2025</w:t>
            </w:r>
          </w:p>
        </w:tc>
        <w:tc>
          <w:tcPr>
            <w:tcW w:w="3510" w:type="dxa"/>
            <w:shd w:val="clear" w:color="auto" w:fill="auto"/>
          </w:tcPr>
          <w:p w:rsidR="00DA0B00" w:rsidRPr="00304712" w:rsidRDefault="00DA0B00" w:rsidP="001D312A">
            <w:pPr>
              <w:jc w:val="left"/>
              <w:rPr>
                <w:rFonts w:ascii="Arial" w:hAnsi="Arial" w:cs="Arial"/>
                <w:sz w:val="22"/>
                <w:szCs w:val="22"/>
              </w:rPr>
            </w:pPr>
            <w:r w:rsidRPr="00304712">
              <w:rPr>
                <w:rFonts w:ascii="Arial" w:hAnsi="Arial" w:cs="Arial"/>
                <w:sz w:val="22"/>
                <w:szCs w:val="22"/>
              </w:rPr>
              <w:t>Finální výběr lokality pro HÚ, bezpečnostní a projektová dokumentace.</w:t>
            </w:r>
          </w:p>
        </w:tc>
      </w:tr>
    </w:tbl>
    <w:p w:rsidR="00DA0B00" w:rsidRPr="002E33C8" w:rsidRDefault="00DA0B00" w:rsidP="00DA0B00">
      <w:pPr>
        <w:pStyle w:val="Zkladntext"/>
        <w:rPr>
          <w:rFonts w:ascii="Arial" w:hAnsi="Arial" w:cs="Arial"/>
          <w:b/>
          <w:bCs/>
        </w:rPr>
      </w:pPr>
    </w:p>
    <w:p w:rsidR="00DA0B00" w:rsidRPr="002E33C8" w:rsidRDefault="00DA0B00" w:rsidP="00DA0B00">
      <w:pPr>
        <w:pStyle w:val="Zkladntext"/>
        <w:rPr>
          <w:rFonts w:ascii="Arial" w:hAnsi="Arial" w:cs="Arial"/>
          <w:sz w:val="24"/>
          <w:szCs w:val="24"/>
        </w:rPr>
      </w:pPr>
      <w:r w:rsidRPr="002E33C8">
        <w:rPr>
          <w:rFonts w:ascii="Arial" w:hAnsi="Arial" w:cs="Arial"/>
          <w:b/>
          <w:bCs/>
          <w:sz w:val="24"/>
          <w:szCs w:val="24"/>
        </w:rPr>
        <w:t xml:space="preserve">Zařazení kandidátních lokalit do územního plánu </w:t>
      </w:r>
    </w:p>
    <w:p w:rsidR="00DA0B00" w:rsidRPr="002E33C8" w:rsidRDefault="00DA0B00" w:rsidP="00DA0B00">
      <w:pPr>
        <w:ind w:firstLine="708"/>
        <w:rPr>
          <w:rFonts w:ascii="Arial" w:hAnsi="Arial" w:cs="Arial"/>
        </w:rPr>
      </w:pPr>
      <w:r w:rsidRPr="002E33C8">
        <w:rPr>
          <w:rFonts w:ascii="Arial" w:hAnsi="Arial" w:cs="Arial"/>
        </w:rPr>
        <w:t>V lokalitách vyhodnocených geologickým průzkumem jako vhodn</w:t>
      </w:r>
      <w:r>
        <w:rPr>
          <w:rFonts w:ascii="Arial" w:hAnsi="Arial" w:cs="Arial"/>
        </w:rPr>
        <w:t>ých</w:t>
      </w:r>
      <w:r w:rsidRPr="002E33C8">
        <w:rPr>
          <w:rFonts w:ascii="Arial" w:hAnsi="Arial" w:cs="Arial"/>
        </w:rPr>
        <w:t xml:space="preserve"> pro umístění HÚ je nutno zajistit omezení jejich nekontrolovaného využívání a provádění nekontrolovaných technických, zejména vrtných aktivit. K tomu účelu slouží stanovení chráněného území pro zvláštní zásah do zemské kůry podle zákona č.</w:t>
      </w:r>
      <w:r>
        <w:rPr>
          <w:rFonts w:ascii="Arial" w:hAnsi="Arial" w:cs="Arial"/>
        </w:rPr>
        <w:t> </w:t>
      </w:r>
      <w:r w:rsidRPr="002E33C8">
        <w:rPr>
          <w:rFonts w:ascii="Arial" w:hAnsi="Arial" w:cs="Arial"/>
        </w:rPr>
        <w:t>44/1988 Sb., (horní zákon)</w:t>
      </w:r>
      <w:r>
        <w:rPr>
          <w:rFonts w:ascii="Arial" w:hAnsi="Arial" w:cs="Arial"/>
        </w:rPr>
        <w:t>,</w:t>
      </w:r>
      <w:r w:rsidRPr="002E33C8">
        <w:rPr>
          <w:rFonts w:ascii="Arial" w:hAnsi="Arial" w:cs="Arial"/>
        </w:rPr>
        <w:t xml:space="preserve"> ve znění pozdějších předpisů. Stanovení chráněného území se předpokládá na dvou kandidátních lokalitách, které </w:t>
      </w:r>
      <w:r>
        <w:rPr>
          <w:rFonts w:ascii="Arial" w:hAnsi="Arial" w:cs="Arial"/>
        </w:rPr>
        <w:t>budou vybrány na základě zhodnocení proveditelnosti</w:t>
      </w:r>
      <w:r w:rsidRPr="002E33C8">
        <w:rPr>
          <w:rFonts w:ascii="Arial" w:hAnsi="Arial" w:cs="Arial"/>
        </w:rPr>
        <w:t xml:space="preserve">, </w:t>
      </w:r>
      <w:r>
        <w:rPr>
          <w:rFonts w:ascii="Arial" w:hAnsi="Arial" w:cs="Arial"/>
        </w:rPr>
        <w:t>bezpečnosti, vlivu na životní prostředí a socio-ekonomické přijatelnosti umístění úložiště v potencionálních lokalitách</w:t>
      </w:r>
      <w:r w:rsidRPr="002E33C8">
        <w:rPr>
          <w:rFonts w:ascii="Arial" w:hAnsi="Arial" w:cs="Arial"/>
        </w:rPr>
        <w:t>.</w:t>
      </w:r>
    </w:p>
    <w:p w:rsidR="00DA0B00" w:rsidRPr="002E33C8" w:rsidRDefault="00DA0B00" w:rsidP="00DA0B00">
      <w:pPr>
        <w:rPr>
          <w:rFonts w:ascii="Arial" w:hAnsi="Arial" w:cs="Arial"/>
        </w:rPr>
      </w:pPr>
    </w:p>
    <w:p w:rsidR="00DA0B00" w:rsidRPr="002E33C8" w:rsidRDefault="00DA0B00" w:rsidP="00DA0B00">
      <w:pPr>
        <w:pStyle w:val="Nadpis2"/>
        <w:rPr>
          <w:rFonts w:ascii="Arial" w:hAnsi="Arial" w:cs="Arial"/>
        </w:rPr>
      </w:pPr>
      <w:bookmarkStart w:id="163" w:name="_Toc520184570"/>
      <w:bookmarkStart w:id="164" w:name="_Toc175555908"/>
      <w:bookmarkStart w:id="165" w:name="_Toc453575877"/>
      <w:r w:rsidRPr="002E33C8">
        <w:rPr>
          <w:rFonts w:ascii="Arial" w:hAnsi="Arial" w:cs="Arial"/>
        </w:rPr>
        <w:t>Předpokládané příjmy a výdaje</w:t>
      </w:r>
      <w:bookmarkEnd w:id="163"/>
      <w:bookmarkEnd w:id="164"/>
      <w:bookmarkEnd w:id="165"/>
    </w:p>
    <w:p w:rsidR="00DA0B00" w:rsidRPr="002E33C8" w:rsidRDefault="00DA0B00" w:rsidP="00DA0B00">
      <w:pPr>
        <w:rPr>
          <w:rFonts w:ascii="Arial" w:hAnsi="Arial" w:cs="Arial"/>
        </w:rPr>
      </w:pPr>
    </w:p>
    <w:p w:rsidR="00DA0B00" w:rsidRPr="002E33C8" w:rsidRDefault="00DA0B00" w:rsidP="00DA0B00">
      <w:pPr>
        <w:rPr>
          <w:rFonts w:ascii="Arial" w:hAnsi="Arial" w:cs="Arial"/>
          <w:b/>
        </w:rPr>
      </w:pPr>
      <w:bookmarkStart w:id="166" w:name="_Toc520184571"/>
      <w:bookmarkStart w:id="167" w:name="_Toc477662036"/>
      <w:bookmarkStart w:id="168" w:name="_Toc507315822"/>
      <w:bookmarkStart w:id="169" w:name="_Toc517173843"/>
      <w:bookmarkStart w:id="170" w:name="_Toc517174021"/>
      <w:bookmarkStart w:id="171" w:name="_Toc517174131"/>
      <w:r w:rsidRPr="002E33C8">
        <w:rPr>
          <w:rFonts w:ascii="Arial" w:hAnsi="Arial" w:cs="Arial"/>
          <w:b/>
        </w:rPr>
        <w:t>Předpokládané příjmy</w:t>
      </w:r>
      <w:bookmarkEnd w:id="166"/>
    </w:p>
    <w:p w:rsidR="00DA0B00" w:rsidRPr="002E33C8" w:rsidRDefault="00DA0B00" w:rsidP="00DA0B00">
      <w:pPr>
        <w:rPr>
          <w:rFonts w:ascii="Arial" w:hAnsi="Arial" w:cs="Arial"/>
        </w:rPr>
      </w:pPr>
    </w:p>
    <w:p w:rsidR="00DA0B00" w:rsidRPr="002E33C8" w:rsidRDefault="00DA0B00" w:rsidP="00DA0B00">
      <w:pPr>
        <w:rPr>
          <w:rFonts w:ascii="Arial" w:hAnsi="Arial" w:cs="Arial"/>
          <w:color w:val="000000"/>
        </w:rPr>
      </w:pPr>
      <w:r w:rsidRPr="002E33C8">
        <w:rPr>
          <w:rFonts w:ascii="Arial" w:hAnsi="Arial" w:cs="Arial"/>
        </w:rPr>
        <w:tab/>
        <w:t>Příjmy jaderného účtu tvoří zejména odvody společnosti ČEZ, a. s.</w:t>
      </w:r>
      <w:r>
        <w:rPr>
          <w:rFonts w:ascii="Arial" w:hAnsi="Arial" w:cs="Arial"/>
        </w:rPr>
        <w:t>,</w:t>
      </w:r>
      <w:r w:rsidRPr="002E33C8">
        <w:rPr>
          <w:rFonts w:ascii="Arial" w:hAnsi="Arial" w:cs="Arial"/>
        </w:rPr>
        <w:t xml:space="preserve"> stanovené nařízením vlády č. 416/2002 Sb. a výnosy z finančních investic a odvody od ostatních původců. Od uvedení jaderné elektrárny Temelín do provozu činí roční odvody na jaderný účet od ČEZ, a. s. </w:t>
      </w:r>
      <w:r>
        <w:rPr>
          <w:rFonts w:ascii="Arial" w:hAnsi="Arial" w:cs="Arial"/>
        </w:rPr>
        <w:t xml:space="preserve">přibližně </w:t>
      </w:r>
      <w:r w:rsidRPr="002E33C8">
        <w:rPr>
          <w:rFonts w:ascii="Arial" w:hAnsi="Arial" w:cs="Arial"/>
        </w:rPr>
        <w:t>1,</w:t>
      </w:r>
      <w:r>
        <w:rPr>
          <w:rFonts w:ascii="Arial" w:hAnsi="Arial" w:cs="Arial"/>
        </w:rPr>
        <w:t>5</w:t>
      </w:r>
      <w:r w:rsidRPr="002E33C8">
        <w:rPr>
          <w:rFonts w:ascii="Arial" w:hAnsi="Arial" w:cs="Arial"/>
        </w:rPr>
        <w:t xml:space="preserve"> mld. Kč. S rostoucím majetkem jaderného účtu porostou i příjmy získané finančním investováním prostředků jaderného účtu. Správa bude pravidelně hodnotit čerpání a tvorbu zdrojů jaderného účtu a použité předpoklady při stanovení odvodů. Podle současných propočtů Správy </w:t>
      </w:r>
      <w:r w:rsidR="00F36BA6">
        <w:rPr>
          <w:rFonts w:ascii="Arial" w:hAnsi="Arial" w:cs="Arial"/>
        </w:rPr>
        <w:t>bude potřebné</w:t>
      </w:r>
      <w:r w:rsidRPr="002E33C8">
        <w:rPr>
          <w:rFonts w:ascii="Arial" w:hAnsi="Arial" w:cs="Arial"/>
        </w:rPr>
        <w:t xml:space="preserve"> stávající výš</w:t>
      </w:r>
      <w:r w:rsidR="00F36BA6">
        <w:rPr>
          <w:rFonts w:ascii="Arial" w:hAnsi="Arial" w:cs="Arial"/>
        </w:rPr>
        <w:t>i</w:t>
      </w:r>
      <w:r w:rsidRPr="002E33C8">
        <w:rPr>
          <w:rFonts w:ascii="Arial" w:hAnsi="Arial" w:cs="Arial"/>
        </w:rPr>
        <w:t xml:space="preserve"> odvodu stanoven</w:t>
      </w:r>
      <w:r w:rsidR="00F36BA6">
        <w:rPr>
          <w:rFonts w:ascii="Arial" w:hAnsi="Arial" w:cs="Arial"/>
        </w:rPr>
        <w:t>ou</w:t>
      </w:r>
      <w:r w:rsidRPr="002E33C8">
        <w:rPr>
          <w:rFonts w:ascii="Arial" w:hAnsi="Arial" w:cs="Arial"/>
        </w:rPr>
        <w:t xml:space="preserve"> sazbou 50 Kč za každou megawatthodinu vyrobenou v jaderných elektrárnách </w:t>
      </w:r>
      <w:r w:rsidR="00F36BA6">
        <w:rPr>
          <w:rFonts w:ascii="Arial" w:hAnsi="Arial" w:cs="Arial"/>
        </w:rPr>
        <w:t>v nejbližších letech zvýšit</w:t>
      </w:r>
      <w:r w:rsidR="003E6254">
        <w:rPr>
          <w:rStyle w:val="Znakapoznpodarou"/>
          <w:rFonts w:ascii="Arial" w:hAnsi="Arial" w:cs="Arial"/>
        </w:rPr>
        <w:footnoteReference w:id="4"/>
      </w:r>
      <w:r w:rsidRPr="002E33C8">
        <w:rPr>
          <w:rFonts w:ascii="Arial" w:hAnsi="Arial" w:cs="Arial"/>
        </w:rPr>
        <w:t xml:space="preserve">. </w:t>
      </w:r>
    </w:p>
    <w:p w:rsidR="00DA0B00" w:rsidRPr="002E33C8" w:rsidRDefault="00DA0B00" w:rsidP="00DA0B00">
      <w:pPr>
        <w:rPr>
          <w:rFonts w:ascii="Arial" w:hAnsi="Arial" w:cs="Arial"/>
        </w:rPr>
      </w:pPr>
    </w:p>
    <w:p w:rsidR="00DA0B00" w:rsidRPr="002E33C8" w:rsidRDefault="00DA0B00" w:rsidP="00DA0B00">
      <w:pPr>
        <w:rPr>
          <w:rFonts w:ascii="Arial" w:hAnsi="Arial" w:cs="Arial"/>
          <w:b/>
        </w:rPr>
      </w:pPr>
      <w:bookmarkStart w:id="172" w:name="_Toc520184572"/>
      <w:r w:rsidRPr="002E33C8">
        <w:rPr>
          <w:rFonts w:ascii="Arial" w:hAnsi="Arial" w:cs="Arial"/>
          <w:b/>
        </w:rPr>
        <w:t>Předpokládané výdaje</w:t>
      </w:r>
      <w:bookmarkEnd w:id="172"/>
    </w:p>
    <w:bookmarkEnd w:id="167"/>
    <w:bookmarkEnd w:id="168"/>
    <w:bookmarkEnd w:id="169"/>
    <w:bookmarkEnd w:id="170"/>
    <w:bookmarkEnd w:id="171"/>
    <w:p w:rsidR="00DA0B00" w:rsidRDefault="00DA0B00" w:rsidP="00DA0B00">
      <w:pPr>
        <w:pStyle w:val="Normlnsmezerou0"/>
        <w:numPr>
          <w:ilvl w:val="12"/>
          <w:numId w:val="0"/>
        </w:numPr>
        <w:spacing w:before="0" w:after="0"/>
        <w:ind w:firstLine="709"/>
        <w:rPr>
          <w:color w:val="000000"/>
        </w:rPr>
      </w:pPr>
    </w:p>
    <w:p w:rsidR="00DA0B00" w:rsidRPr="002E33C8" w:rsidRDefault="00DA0B00" w:rsidP="00DA0B00">
      <w:pPr>
        <w:pStyle w:val="Normlnsmezerou0"/>
        <w:numPr>
          <w:ilvl w:val="12"/>
          <w:numId w:val="0"/>
        </w:numPr>
        <w:spacing w:before="0" w:after="0"/>
        <w:ind w:firstLine="709"/>
        <w:rPr>
          <w:color w:val="000000"/>
        </w:rPr>
      </w:pPr>
      <w:r w:rsidRPr="002E33C8">
        <w:rPr>
          <w:color w:val="000000"/>
        </w:rPr>
        <w:t>Výdaje na zajištění provozu stávajících úložišť nízko a středněaktivních odpadů (Dukovany, Richard, Bratrství) nepřevyšují ročně 45 mil. Kč. Pokrývají zejména ukládací činnosti, údržbu pozemků, stavebních objektů, technologického zařízení a podzemních prostor (Richard a Bratrství), zajištění radiační ochrany, fyzické ochrany, požární bezpečnosti, technické bezpečnosti, havarijní připravenosti a monitorování vlivů na životní prostředí.</w:t>
      </w:r>
    </w:p>
    <w:p w:rsidR="00DA0B00" w:rsidRPr="002E33C8" w:rsidRDefault="00DA0B00" w:rsidP="00DA0B00">
      <w:pPr>
        <w:pStyle w:val="Normlnsmezerou0"/>
        <w:numPr>
          <w:ilvl w:val="12"/>
          <w:numId w:val="0"/>
        </w:numPr>
        <w:spacing w:before="0" w:after="0"/>
        <w:ind w:firstLine="709"/>
        <w:rPr>
          <w:color w:val="000000"/>
        </w:rPr>
      </w:pPr>
      <w:r w:rsidRPr="002E33C8">
        <w:rPr>
          <w:color w:val="000000"/>
        </w:rPr>
        <w:t xml:space="preserve">Úložiště radioaktivních odpadů jsou v provozu již několik desítek let a před nabytím platnosti atomového zákona nebyly vytvářeny rezervní prostředky na budoucí nákladově významné položky (především ukončení provozu a uzavření úložišť). Proto stát poskytuje prostředky na nakládání s těmito radioaktivními odpady. </w:t>
      </w:r>
    </w:p>
    <w:p w:rsidR="00DA0B00" w:rsidRPr="002E33C8" w:rsidRDefault="00DA0B00" w:rsidP="00DA0B00">
      <w:pPr>
        <w:pStyle w:val="Normlnsmezerou0"/>
        <w:numPr>
          <w:ilvl w:val="12"/>
          <w:numId w:val="0"/>
        </w:numPr>
        <w:spacing w:before="0" w:after="0"/>
        <w:ind w:firstLine="709"/>
        <w:rPr>
          <w:color w:val="000000"/>
        </w:rPr>
      </w:pPr>
      <w:r w:rsidRPr="002E33C8">
        <w:rPr>
          <w:color w:val="000000"/>
        </w:rPr>
        <w:t xml:space="preserve">Výdaje na výstavbu, provoz a uzavření </w:t>
      </w:r>
      <w:r>
        <w:rPr>
          <w:color w:val="000000"/>
        </w:rPr>
        <w:t>HÚ</w:t>
      </w:r>
      <w:r w:rsidRPr="002E33C8">
        <w:rPr>
          <w:color w:val="000000"/>
        </w:rPr>
        <w:t xml:space="preserve">, na úpravu </w:t>
      </w:r>
      <w:r>
        <w:rPr>
          <w:color w:val="000000"/>
        </w:rPr>
        <w:t>použité</w:t>
      </w:r>
      <w:r w:rsidRPr="002E33C8">
        <w:rPr>
          <w:color w:val="000000"/>
        </w:rPr>
        <w:t xml:space="preserve">ho jaderného paliva do formy vhodné k uložení a na uložení </w:t>
      </w:r>
      <w:r>
        <w:rPr>
          <w:color w:val="000000"/>
        </w:rPr>
        <w:t>vyhořelého</w:t>
      </w:r>
      <w:r w:rsidRPr="002E33C8">
        <w:rPr>
          <w:color w:val="000000"/>
        </w:rPr>
        <w:t xml:space="preserve"> jaderného paliva či vyso</w:t>
      </w:r>
      <w:r>
        <w:rPr>
          <w:color w:val="000000"/>
        </w:rPr>
        <w:t>ko</w:t>
      </w:r>
      <w:r w:rsidRPr="002E33C8">
        <w:rPr>
          <w:color w:val="000000"/>
        </w:rPr>
        <w:t>aktivních odpadů</w:t>
      </w:r>
      <w:r>
        <w:rPr>
          <w:color w:val="000000"/>
        </w:rPr>
        <w:t>,</w:t>
      </w:r>
      <w:r w:rsidRPr="002E33C8">
        <w:rPr>
          <w:color w:val="000000"/>
        </w:rPr>
        <w:t xml:space="preserve"> by měly nabíhat v rozhodující míře až po roce 2050. Výdaje na přípravu </w:t>
      </w:r>
      <w:r>
        <w:rPr>
          <w:color w:val="000000"/>
        </w:rPr>
        <w:t>HÚ</w:t>
      </w:r>
      <w:r w:rsidRPr="002E33C8">
        <w:rPr>
          <w:color w:val="000000"/>
        </w:rPr>
        <w:t xml:space="preserve"> </w:t>
      </w:r>
      <w:r>
        <w:rPr>
          <w:color w:val="000000"/>
        </w:rPr>
        <w:t xml:space="preserve">od roku 2017 </w:t>
      </w:r>
      <w:r w:rsidRPr="002E33C8">
        <w:rPr>
          <w:color w:val="000000"/>
        </w:rPr>
        <w:t>do roku 201</w:t>
      </w:r>
      <w:r>
        <w:rPr>
          <w:color w:val="000000"/>
        </w:rPr>
        <w:t>9</w:t>
      </w:r>
      <w:r w:rsidRPr="002E33C8">
        <w:rPr>
          <w:color w:val="000000"/>
        </w:rPr>
        <w:t xml:space="preserve"> zahrnující průzkumné práce, výzkumné a vývojové práce, komunikační podporu a</w:t>
      </w:r>
      <w:r>
        <w:rPr>
          <w:color w:val="000000"/>
        </w:rPr>
        <w:t> </w:t>
      </w:r>
      <w:r w:rsidRPr="002E33C8">
        <w:rPr>
          <w:color w:val="000000"/>
        </w:rPr>
        <w:t xml:space="preserve">příspěvky obcím v lokalitách jsou odhadovány </w:t>
      </w:r>
      <w:r w:rsidRPr="00FC2EC2">
        <w:rPr>
          <w:color w:val="000000"/>
        </w:rPr>
        <w:t>na 1,2 mld. Kč.</w:t>
      </w:r>
    </w:p>
    <w:p w:rsidR="00DA0B00" w:rsidRPr="002E33C8" w:rsidRDefault="00DA0B00" w:rsidP="00DA0B00">
      <w:pPr>
        <w:pStyle w:val="Normlnsmezerou0"/>
        <w:numPr>
          <w:ilvl w:val="12"/>
          <w:numId w:val="0"/>
        </w:numPr>
        <w:spacing w:before="0" w:after="0"/>
        <w:ind w:firstLine="709"/>
        <w:rPr>
          <w:color w:val="000000"/>
        </w:rPr>
      </w:pPr>
      <w:r w:rsidRPr="002E33C8">
        <w:rPr>
          <w:color w:val="000000"/>
        </w:rPr>
        <w:br w:type="page"/>
      </w:r>
    </w:p>
    <w:p w:rsidR="00DA0B00" w:rsidRPr="002E33C8" w:rsidRDefault="00DA0B00" w:rsidP="00DA0B00">
      <w:pPr>
        <w:pStyle w:val="Nadpis1"/>
        <w:spacing w:before="0"/>
        <w:rPr>
          <w:rFonts w:ascii="Arial" w:hAnsi="Arial" w:cs="Arial"/>
        </w:rPr>
      </w:pPr>
      <w:bookmarkStart w:id="173" w:name="_Toc453575878"/>
      <w:bookmarkStart w:id="174" w:name="_Toc204667522"/>
      <w:r w:rsidRPr="002E33C8">
        <w:rPr>
          <w:rFonts w:ascii="Arial" w:hAnsi="Arial" w:cs="Arial"/>
        </w:rPr>
        <w:t>Příloh</w:t>
      </w:r>
      <w:r>
        <w:rPr>
          <w:rFonts w:ascii="Arial" w:hAnsi="Arial" w:cs="Arial"/>
        </w:rPr>
        <w:t>y</w:t>
      </w:r>
      <w:bookmarkEnd w:id="173"/>
    </w:p>
    <w:bookmarkEnd w:id="174"/>
    <w:p w:rsidR="00DA0B00" w:rsidRPr="002E33C8" w:rsidRDefault="00DA0B00" w:rsidP="00DA0B00">
      <w:pPr>
        <w:pStyle w:val="Normlnsmezerou0"/>
        <w:numPr>
          <w:ilvl w:val="12"/>
          <w:numId w:val="0"/>
        </w:numPr>
        <w:spacing w:before="0" w:after="0"/>
        <w:jc w:val="left"/>
        <w:rPr>
          <w:b/>
          <w:color w:val="000000"/>
        </w:rPr>
      </w:pPr>
    </w:p>
    <w:p w:rsidR="00DA0B00" w:rsidRPr="00C1424D" w:rsidRDefault="00DA0B00" w:rsidP="00DA0B00">
      <w:pPr>
        <w:pStyle w:val="Nadpis2"/>
        <w:tabs>
          <w:tab w:val="clear" w:pos="0"/>
        </w:tabs>
        <w:rPr>
          <w:rFonts w:ascii="Arial" w:hAnsi="Arial" w:cs="Arial"/>
        </w:rPr>
      </w:pPr>
      <w:bookmarkStart w:id="175" w:name="_Toc453575879"/>
      <w:r w:rsidRPr="00C1424D">
        <w:rPr>
          <w:rFonts w:ascii="Arial" w:hAnsi="Arial" w:cs="Arial"/>
        </w:rPr>
        <w:t>Příloha č. 1: Podrobnější členění rozpočtu Správy</w:t>
      </w:r>
      <w:bookmarkEnd w:id="175"/>
    </w:p>
    <w:p w:rsidR="00DA0B00" w:rsidRPr="002E33C8" w:rsidRDefault="00DA0B00" w:rsidP="00DA0B00">
      <w:pPr>
        <w:pStyle w:val="Normlnsmezerou0"/>
        <w:numPr>
          <w:ilvl w:val="12"/>
          <w:numId w:val="0"/>
        </w:numPr>
        <w:spacing w:before="0" w:after="0"/>
        <w:jc w:val="left"/>
        <w:rPr>
          <w:b/>
          <w:color w:val="000000"/>
        </w:rPr>
      </w:pPr>
    </w:p>
    <w:p w:rsidR="00DA0B00" w:rsidRPr="002E33C8" w:rsidRDefault="003B2279" w:rsidP="00DA0B00">
      <w:pPr>
        <w:pStyle w:val="Normlnsmezerou0"/>
        <w:numPr>
          <w:ilvl w:val="12"/>
          <w:numId w:val="0"/>
        </w:numPr>
        <w:spacing w:before="0" w:after="0"/>
        <w:ind w:left="708"/>
        <w:jc w:val="left"/>
      </w:pPr>
      <w:r w:rsidRPr="00A354A0">
        <w:rPr>
          <w:noProof/>
        </w:rPr>
        <w:drawing>
          <wp:inline distT="0" distB="0" distL="0" distR="0" wp14:anchorId="383E5E19" wp14:editId="4BACC19E">
            <wp:extent cx="5210175" cy="7125335"/>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7125335"/>
                    </a:xfrm>
                    <a:prstGeom prst="rect">
                      <a:avLst/>
                    </a:prstGeom>
                    <a:noFill/>
                    <a:ln>
                      <a:noFill/>
                    </a:ln>
                  </pic:spPr>
                </pic:pic>
              </a:graphicData>
            </a:graphic>
          </wp:inline>
        </w:drawing>
      </w:r>
    </w:p>
    <w:p w:rsidR="00DA0B00" w:rsidRPr="002E33C8" w:rsidRDefault="00DA0B00" w:rsidP="00DA0B00">
      <w:pPr>
        <w:pStyle w:val="Normlnsmezerou0"/>
        <w:numPr>
          <w:ilvl w:val="12"/>
          <w:numId w:val="0"/>
        </w:numPr>
        <w:spacing w:before="0" w:after="0"/>
        <w:jc w:val="left"/>
      </w:pPr>
    </w:p>
    <w:p w:rsidR="0089031A" w:rsidRDefault="008146EF" w:rsidP="00DA0B00">
      <w:pPr>
        <w:pStyle w:val="Normlnsmezerou0"/>
        <w:numPr>
          <w:ilvl w:val="12"/>
          <w:numId w:val="0"/>
        </w:numPr>
        <w:spacing w:before="0" w:after="0"/>
        <w:ind w:left="709"/>
        <w:jc w:val="left"/>
        <w:rPr>
          <w:sz w:val="20"/>
          <w:szCs w:val="20"/>
        </w:rPr>
      </w:pPr>
      <w:r>
        <w:rPr>
          <w:sz w:val="20"/>
          <w:szCs w:val="20"/>
        </w:rPr>
        <w:br w:type="page"/>
      </w:r>
    </w:p>
    <w:p w:rsidR="002507FE" w:rsidRPr="00860B1C" w:rsidRDefault="00860B1C" w:rsidP="00730E0D">
      <w:pPr>
        <w:pStyle w:val="Normlnsmezerou0"/>
        <w:numPr>
          <w:ilvl w:val="12"/>
          <w:numId w:val="0"/>
        </w:numPr>
        <w:spacing w:before="0" w:after="0"/>
        <w:rPr>
          <w:sz w:val="22"/>
          <w:szCs w:val="22"/>
        </w:rPr>
      </w:pPr>
      <w:r w:rsidRPr="00860B1C">
        <w:rPr>
          <w:sz w:val="22"/>
          <w:szCs w:val="22"/>
        </w:rPr>
        <w:t>Členění rozpočtu je upraveno dle vyhlášky MF ČR č. 323/2002 Sb., o rozpočtové skladbě</w:t>
      </w:r>
      <w:r>
        <w:rPr>
          <w:sz w:val="22"/>
          <w:szCs w:val="22"/>
        </w:rPr>
        <w:t>, přičemž podrobný rozpis rozpočtu je proveden v</w:t>
      </w:r>
      <w:r w:rsidR="00730E0D">
        <w:rPr>
          <w:sz w:val="22"/>
          <w:szCs w:val="22"/>
        </w:rPr>
        <w:t> Rozpočtovém informačním systému (RIS)</w:t>
      </w:r>
      <w:r w:rsidR="00AD0EB3">
        <w:rPr>
          <w:sz w:val="22"/>
          <w:szCs w:val="22"/>
        </w:rPr>
        <w:t xml:space="preserve"> státní pokladny</w:t>
      </w:r>
      <w:r w:rsidRPr="00860B1C">
        <w:rPr>
          <w:sz w:val="22"/>
          <w:szCs w:val="22"/>
        </w:rPr>
        <w:t>.</w:t>
      </w:r>
      <w:r w:rsidR="00730E0D">
        <w:rPr>
          <w:sz w:val="22"/>
          <w:szCs w:val="22"/>
        </w:rPr>
        <w:t xml:space="preserve"> Výdaje střediska 1 – Administrativa a správa zahrnují </w:t>
      </w:r>
      <w:r w:rsidR="00AD0EB3">
        <w:rPr>
          <w:sz w:val="22"/>
          <w:szCs w:val="22"/>
        </w:rPr>
        <w:t xml:space="preserve">zejména </w:t>
      </w:r>
      <w:r w:rsidR="00730E0D">
        <w:rPr>
          <w:sz w:val="22"/>
          <w:szCs w:val="22"/>
        </w:rPr>
        <w:t>platy zaměstnanců</w:t>
      </w:r>
      <w:r w:rsidR="00AD0EB3">
        <w:rPr>
          <w:sz w:val="22"/>
          <w:szCs w:val="22"/>
        </w:rPr>
        <w:t xml:space="preserve"> a související výdaje</w:t>
      </w:r>
      <w:r w:rsidR="00730E0D">
        <w:rPr>
          <w:sz w:val="22"/>
          <w:szCs w:val="22"/>
        </w:rPr>
        <w:t xml:space="preserve">, </w:t>
      </w:r>
      <w:r w:rsidR="00AD0EB3">
        <w:rPr>
          <w:sz w:val="22"/>
          <w:szCs w:val="22"/>
        </w:rPr>
        <w:t xml:space="preserve">neinvestiční nákupy a kapitálové výdaje. Meziroční nárůst v platové oblasti zahrnuje plánované navýšení počtu zaměstnanců o 4 a předpokládá zvýšení platů o 5%. V kapitálových výdajích jsou zahrnuty zejména předpokládané náklady na rekonstrukci </w:t>
      </w:r>
      <w:r w:rsidR="00AD0EB3" w:rsidRPr="00AD0EB3">
        <w:rPr>
          <w:sz w:val="22"/>
          <w:szCs w:val="22"/>
        </w:rPr>
        <w:t>budov</w:t>
      </w:r>
      <w:r w:rsidR="00AD0EB3">
        <w:rPr>
          <w:sz w:val="22"/>
          <w:szCs w:val="22"/>
        </w:rPr>
        <w:t>y</w:t>
      </w:r>
      <w:r w:rsidR="00AD0EB3" w:rsidRPr="00AD0EB3">
        <w:rPr>
          <w:sz w:val="22"/>
          <w:szCs w:val="22"/>
        </w:rPr>
        <w:t xml:space="preserve"> státu Na Florenci 7-9 (Praha 1), ve které by mohlo být perspektivně zajištěno samostatné sídlo Správy v nadcházejícím období</w:t>
      </w:r>
      <w:r w:rsidR="00AD0EB3">
        <w:rPr>
          <w:sz w:val="22"/>
          <w:szCs w:val="22"/>
        </w:rPr>
        <w:t xml:space="preserve"> (v současné době sídlo s. p. VVÚD)</w:t>
      </w:r>
      <w:r w:rsidR="00AD0EB3" w:rsidRPr="00AD0EB3">
        <w:rPr>
          <w:sz w:val="22"/>
          <w:szCs w:val="22"/>
        </w:rPr>
        <w:t>.</w:t>
      </w:r>
      <w:r w:rsidR="00AD0EB3">
        <w:rPr>
          <w:sz w:val="22"/>
          <w:szCs w:val="22"/>
        </w:rPr>
        <w:t xml:space="preserve"> </w:t>
      </w:r>
      <w:r w:rsidR="002507FE" w:rsidRPr="00860B1C">
        <w:rPr>
          <w:sz w:val="22"/>
          <w:szCs w:val="22"/>
        </w:rPr>
        <w:t>Organizační uspořádání a počet zaměstnanců Správy se odvíjí od úkolů, které Správa zajišťuje v souladu se svým předmětem činnosti vymezeným v atomovém zákoně a v souladu s plánem činnosti. V</w:t>
      </w:r>
      <w:r w:rsidR="00984B8F" w:rsidRPr="00860B1C">
        <w:rPr>
          <w:sz w:val="22"/>
          <w:szCs w:val="22"/>
        </w:rPr>
        <w:t> souladu s</w:t>
      </w:r>
      <w:r w:rsidR="002507FE" w:rsidRPr="00860B1C">
        <w:rPr>
          <w:sz w:val="22"/>
          <w:szCs w:val="22"/>
        </w:rPr>
        <w:t xml:space="preserve"> plán</w:t>
      </w:r>
      <w:r w:rsidR="00984B8F" w:rsidRPr="00860B1C">
        <w:rPr>
          <w:sz w:val="22"/>
          <w:szCs w:val="22"/>
        </w:rPr>
        <w:t>em</w:t>
      </w:r>
      <w:r w:rsidR="002507FE" w:rsidRPr="00860B1C">
        <w:rPr>
          <w:sz w:val="22"/>
          <w:szCs w:val="22"/>
        </w:rPr>
        <w:t xml:space="preserve"> činnosti na rok 2016 </w:t>
      </w:r>
      <w:r w:rsidR="00984B8F" w:rsidRPr="00860B1C">
        <w:rPr>
          <w:sz w:val="22"/>
          <w:szCs w:val="22"/>
        </w:rPr>
        <w:t>má Správa 62</w:t>
      </w:r>
      <w:r w:rsidR="002507FE" w:rsidRPr="00860B1C">
        <w:rPr>
          <w:sz w:val="22"/>
          <w:szCs w:val="22"/>
        </w:rPr>
        <w:t xml:space="preserve"> systemizovaných míst </w:t>
      </w:r>
      <w:r w:rsidR="00984B8F" w:rsidRPr="00860B1C">
        <w:rPr>
          <w:sz w:val="22"/>
          <w:szCs w:val="22"/>
        </w:rPr>
        <w:t>62</w:t>
      </w:r>
      <w:r w:rsidR="002507FE" w:rsidRPr="00860B1C">
        <w:rPr>
          <w:sz w:val="22"/>
          <w:szCs w:val="22"/>
        </w:rPr>
        <w:t>. V</w:t>
      </w:r>
      <w:r w:rsidR="00984B8F" w:rsidRPr="00860B1C">
        <w:rPr>
          <w:sz w:val="22"/>
          <w:szCs w:val="22"/>
        </w:rPr>
        <w:t> příštím roce</w:t>
      </w:r>
      <w:r w:rsidR="002507FE" w:rsidRPr="00860B1C">
        <w:rPr>
          <w:sz w:val="22"/>
          <w:szCs w:val="22"/>
        </w:rPr>
        <w:t xml:space="preserve"> bude </w:t>
      </w:r>
      <w:r w:rsidR="00984B8F" w:rsidRPr="00860B1C">
        <w:rPr>
          <w:sz w:val="22"/>
          <w:szCs w:val="22"/>
        </w:rPr>
        <w:t>zahájen výzkumný program v PVP Bukov a</w:t>
      </w:r>
      <w:r w:rsidR="00AE2D87">
        <w:rPr>
          <w:sz w:val="22"/>
          <w:szCs w:val="22"/>
        </w:rPr>
        <w:t> </w:t>
      </w:r>
      <w:r w:rsidR="00984B8F" w:rsidRPr="00860B1C">
        <w:rPr>
          <w:sz w:val="22"/>
          <w:szCs w:val="22"/>
        </w:rPr>
        <w:t>pro tuto činnost plánuje Správa 3 nové pracovní pozice. Dále plánuje posílit útvar ICT o</w:t>
      </w:r>
      <w:r w:rsidR="00EE2846">
        <w:rPr>
          <w:sz w:val="22"/>
          <w:szCs w:val="22"/>
        </w:rPr>
        <w:t> </w:t>
      </w:r>
      <w:r w:rsidR="00984B8F" w:rsidRPr="00860B1C">
        <w:rPr>
          <w:sz w:val="22"/>
          <w:szCs w:val="22"/>
        </w:rPr>
        <w:t>1</w:t>
      </w:r>
      <w:r w:rsidR="00730E0D">
        <w:rPr>
          <w:sz w:val="22"/>
          <w:szCs w:val="22"/>
        </w:rPr>
        <w:t> </w:t>
      </w:r>
      <w:r w:rsidR="00984B8F" w:rsidRPr="00860B1C">
        <w:rPr>
          <w:sz w:val="22"/>
          <w:szCs w:val="22"/>
        </w:rPr>
        <w:t>specialistu. Náplň práce je uvedena dále:</w:t>
      </w:r>
    </w:p>
    <w:p w:rsidR="002507FE" w:rsidRPr="00860B1C" w:rsidRDefault="002507FE" w:rsidP="00DA0B00">
      <w:pPr>
        <w:pStyle w:val="Normlnsmezerou0"/>
        <w:numPr>
          <w:ilvl w:val="12"/>
          <w:numId w:val="0"/>
        </w:numPr>
        <w:spacing w:before="0" w:after="0"/>
        <w:ind w:left="709"/>
        <w:jc w:val="left"/>
        <w:rPr>
          <w:sz w:val="22"/>
          <w:szCs w:val="22"/>
        </w:rPr>
      </w:pPr>
    </w:p>
    <w:p w:rsidR="00775C07" w:rsidRPr="00860B1C" w:rsidRDefault="00775C07" w:rsidP="00775C07">
      <w:pPr>
        <w:pStyle w:val="Normlnsmezerou0"/>
        <w:numPr>
          <w:ilvl w:val="12"/>
          <w:numId w:val="0"/>
        </w:numPr>
        <w:spacing w:before="0" w:after="0"/>
        <w:jc w:val="left"/>
        <w:rPr>
          <w:sz w:val="22"/>
          <w:szCs w:val="22"/>
        </w:rPr>
      </w:pPr>
      <w:r w:rsidRPr="00860B1C">
        <w:rPr>
          <w:sz w:val="22"/>
          <w:szCs w:val="22"/>
        </w:rPr>
        <w:t>TECHNICKÝ SPECIALISTA – Vědecký koordinátor podzemního RD programu</w:t>
      </w:r>
    </w:p>
    <w:p w:rsidR="00775C07" w:rsidRPr="00860B1C" w:rsidRDefault="00775C07" w:rsidP="00775C07">
      <w:pPr>
        <w:pStyle w:val="Normlnsmezerou0"/>
        <w:numPr>
          <w:ilvl w:val="12"/>
          <w:numId w:val="0"/>
        </w:numPr>
        <w:spacing w:before="0" w:after="0"/>
        <w:jc w:val="left"/>
        <w:rPr>
          <w:sz w:val="22"/>
          <w:szCs w:val="22"/>
        </w:rPr>
      </w:pPr>
      <w:r w:rsidRPr="00860B1C">
        <w:rPr>
          <w:sz w:val="22"/>
          <w:szCs w:val="22"/>
        </w:rPr>
        <w:t>Náplň práce:</w:t>
      </w:r>
    </w:p>
    <w:p w:rsidR="00775C07" w:rsidRPr="00860B1C" w:rsidRDefault="00775C07" w:rsidP="00775C07">
      <w:pPr>
        <w:pStyle w:val="Normlnsmezerou0"/>
        <w:numPr>
          <w:ilvl w:val="0"/>
          <w:numId w:val="17"/>
        </w:numPr>
        <w:spacing w:before="0" w:after="0"/>
        <w:jc w:val="left"/>
        <w:rPr>
          <w:sz w:val="22"/>
          <w:szCs w:val="22"/>
        </w:rPr>
      </w:pPr>
      <w:r w:rsidRPr="00860B1C">
        <w:rPr>
          <w:sz w:val="22"/>
          <w:szCs w:val="22"/>
        </w:rPr>
        <w:t>Implementace experimentálního programu podzemní laboratoře PVP Bukov do reálného provozu</w:t>
      </w:r>
    </w:p>
    <w:p w:rsidR="00775C07" w:rsidRPr="00860B1C" w:rsidRDefault="00775C07" w:rsidP="00775C07">
      <w:pPr>
        <w:pStyle w:val="Normlnsmezerou0"/>
        <w:numPr>
          <w:ilvl w:val="0"/>
          <w:numId w:val="17"/>
        </w:numPr>
        <w:spacing w:before="0" w:after="0"/>
        <w:jc w:val="left"/>
        <w:rPr>
          <w:sz w:val="22"/>
          <w:szCs w:val="22"/>
        </w:rPr>
      </w:pPr>
      <w:r w:rsidRPr="00860B1C">
        <w:rPr>
          <w:sz w:val="22"/>
          <w:szCs w:val="22"/>
        </w:rPr>
        <w:t>Koncepční vedení ostatních projektů v podzemních laboratořích</w:t>
      </w:r>
    </w:p>
    <w:p w:rsidR="00775C07" w:rsidRPr="00860B1C" w:rsidRDefault="00775C07" w:rsidP="00775C07">
      <w:pPr>
        <w:pStyle w:val="Normlnsmezerou0"/>
        <w:numPr>
          <w:ilvl w:val="0"/>
          <w:numId w:val="17"/>
        </w:numPr>
        <w:spacing w:before="0" w:after="0"/>
        <w:jc w:val="left"/>
        <w:rPr>
          <w:sz w:val="22"/>
          <w:szCs w:val="22"/>
        </w:rPr>
      </w:pPr>
      <w:r w:rsidRPr="00860B1C">
        <w:rPr>
          <w:sz w:val="22"/>
          <w:szCs w:val="22"/>
        </w:rPr>
        <w:t>Koordinace vědeckých týmů</w:t>
      </w:r>
    </w:p>
    <w:p w:rsidR="00775C07" w:rsidRPr="00860B1C" w:rsidRDefault="00775C07" w:rsidP="00775C07">
      <w:pPr>
        <w:pStyle w:val="Normlnsmezerou0"/>
        <w:numPr>
          <w:ilvl w:val="0"/>
          <w:numId w:val="17"/>
        </w:numPr>
        <w:spacing w:before="0" w:after="0"/>
        <w:jc w:val="left"/>
        <w:rPr>
          <w:sz w:val="22"/>
          <w:szCs w:val="22"/>
        </w:rPr>
      </w:pPr>
      <w:r w:rsidRPr="00860B1C">
        <w:rPr>
          <w:sz w:val="22"/>
          <w:szCs w:val="22"/>
        </w:rPr>
        <w:t>Spolupráce na výstavbě výzkumné infrastruktury (grand a underground base)</w:t>
      </w:r>
    </w:p>
    <w:p w:rsidR="00775C07" w:rsidRPr="00860B1C" w:rsidRDefault="00775C07" w:rsidP="00775C07">
      <w:pPr>
        <w:pStyle w:val="Normlnsmezerou0"/>
        <w:numPr>
          <w:ilvl w:val="0"/>
          <w:numId w:val="17"/>
        </w:numPr>
        <w:spacing w:before="0" w:after="0"/>
        <w:jc w:val="left"/>
        <w:rPr>
          <w:sz w:val="22"/>
          <w:szCs w:val="22"/>
        </w:rPr>
      </w:pPr>
      <w:r w:rsidRPr="00860B1C">
        <w:rPr>
          <w:sz w:val="22"/>
          <w:szCs w:val="22"/>
        </w:rPr>
        <w:t>Schopnost aktivní prezentace pracoviště na mezinárodních konferencích</w:t>
      </w:r>
    </w:p>
    <w:p w:rsidR="00775C07" w:rsidRPr="00860B1C" w:rsidRDefault="00775C07" w:rsidP="00775C07">
      <w:pPr>
        <w:pStyle w:val="Normlnsmezerou0"/>
        <w:numPr>
          <w:ilvl w:val="0"/>
          <w:numId w:val="17"/>
        </w:numPr>
        <w:spacing w:before="0" w:after="0"/>
        <w:jc w:val="left"/>
        <w:rPr>
          <w:sz w:val="22"/>
          <w:szCs w:val="22"/>
        </w:rPr>
      </w:pPr>
      <w:r w:rsidRPr="00860B1C">
        <w:rPr>
          <w:sz w:val="22"/>
          <w:szCs w:val="22"/>
        </w:rPr>
        <w:t>Schopnost aktivní prezentace pracoviště veřejnosti in-situ</w:t>
      </w:r>
    </w:p>
    <w:p w:rsidR="00775C07" w:rsidRPr="00860B1C" w:rsidRDefault="00775C07" w:rsidP="00775C07">
      <w:pPr>
        <w:pStyle w:val="Normlnsmezerou0"/>
        <w:numPr>
          <w:ilvl w:val="0"/>
          <w:numId w:val="17"/>
        </w:numPr>
        <w:spacing w:before="0" w:after="0"/>
        <w:jc w:val="left"/>
        <w:rPr>
          <w:sz w:val="22"/>
          <w:szCs w:val="22"/>
        </w:rPr>
      </w:pPr>
      <w:r w:rsidRPr="00860B1C">
        <w:rPr>
          <w:sz w:val="22"/>
          <w:szCs w:val="22"/>
        </w:rPr>
        <w:t>Schopnost aktivně získávat grantové prostředky a externí projekty</w:t>
      </w:r>
    </w:p>
    <w:p w:rsidR="00775C07" w:rsidRPr="00860B1C" w:rsidRDefault="00775C07" w:rsidP="00775C07">
      <w:pPr>
        <w:pStyle w:val="Normlnsmezerou0"/>
        <w:numPr>
          <w:ilvl w:val="12"/>
          <w:numId w:val="0"/>
        </w:numPr>
        <w:spacing w:before="0" w:after="0"/>
        <w:jc w:val="left"/>
        <w:rPr>
          <w:sz w:val="22"/>
          <w:szCs w:val="22"/>
        </w:rPr>
      </w:pPr>
    </w:p>
    <w:p w:rsidR="00775C07" w:rsidRPr="00860B1C" w:rsidRDefault="00775C07" w:rsidP="00775C07">
      <w:pPr>
        <w:pStyle w:val="Normlnsmezerou0"/>
        <w:numPr>
          <w:ilvl w:val="12"/>
          <w:numId w:val="0"/>
        </w:numPr>
        <w:spacing w:before="0" w:after="0"/>
        <w:jc w:val="left"/>
        <w:rPr>
          <w:sz w:val="22"/>
          <w:szCs w:val="22"/>
        </w:rPr>
      </w:pPr>
      <w:r w:rsidRPr="00860B1C">
        <w:rPr>
          <w:sz w:val="22"/>
          <w:szCs w:val="22"/>
        </w:rPr>
        <w:t>TECHNICKÝ SPECIALISTA – Vedoucí podzemní laboratoře</w:t>
      </w:r>
    </w:p>
    <w:p w:rsidR="00775C07" w:rsidRPr="00860B1C" w:rsidRDefault="00775C07" w:rsidP="00775C07">
      <w:pPr>
        <w:pStyle w:val="Normlnsmezerou0"/>
        <w:numPr>
          <w:ilvl w:val="12"/>
          <w:numId w:val="0"/>
        </w:numPr>
        <w:spacing w:before="0" w:after="0"/>
        <w:jc w:val="left"/>
        <w:rPr>
          <w:sz w:val="22"/>
          <w:szCs w:val="22"/>
        </w:rPr>
      </w:pPr>
      <w:r w:rsidRPr="00860B1C">
        <w:rPr>
          <w:sz w:val="22"/>
          <w:szCs w:val="22"/>
        </w:rPr>
        <w:t>Náplň práce:</w:t>
      </w:r>
    </w:p>
    <w:p w:rsidR="00775C07" w:rsidRPr="00860B1C" w:rsidRDefault="00775C07" w:rsidP="00775C07">
      <w:pPr>
        <w:pStyle w:val="Normlnsmezerou0"/>
        <w:numPr>
          <w:ilvl w:val="0"/>
          <w:numId w:val="19"/>
        </w:numPr>
        <w:spacing w:before="0" w:after="0"/>
        <w:jc w:val="left"/>
        <w:rPr>
          <w:sz w:val="22"/>
          <w:szCs w:val="22"/>
        </w:rPr>
      </w:pPr>
      <w:r w:rsidRPr="00860B1C">
        <w:rPr>
          <w:sz w:val="22"/>
          <w:szCs w:val="22"/>
        </w:rPr>
        <w:t>Zajištění chodu podzemní laboratoře</w:t>
      </w:r>
    </w:p>
    <w:p w:rsidR="00775C07" w:rsidRPr="00860B1C" w:rsidRDefault="00775C07" w:rsidP="00775C07">
      <w:pPr>
        <w:pStyle w:val="Normlnsmezerou0"/>
        <w:numPr>
          <w:ilvl w:val="0"/>
          <w:numId w:val="19"/>
        </w:numPr>
        <w:spacing w:before="0" w:after="0"/>
        <w:jc w:val="left"/>
        <w:rPr>
          <w:sz w:val="22"/>
          <w:szCs w:val="22"/>
        </w:rPr>
      </w:pPr>
      <w:r w:rsidRPr="00860B1C">
        <w:rPr>
          <w:sz w:val="22"/>
          <w:szCs w:val="22"/>
        </w:rPr>
        <w:t>Koordinace výzkumných týmů, zajištění plynulého získávání dat</w:t>
      </w:r>
    </w:p>
    <w:p w:rsidR="00775C07" w:rsidRPr="00860B1C" w:rsidRDefault="00775C07" w:rsidP="00775C07">
      <w:pPr>
        <w:pStyle w:val="Normlnsmezerou0"/>
        <w:numPr>
          <w:ilvl w:val="0"/>
          <w:numId w:val="19"/>
        </w:numPr>
        <w:spacing w:before="0" w:after="0"/>
        <w:jc w:val="left"/>
        <w:rPr>
          <w:sz w:val="22"/>
          <w:szCs w:val="22"/>
        </w:rPr>
      </w:pPr>
      <w:r w:rsidRPr="00860B1C">
        <w:rPr>
          <w:sz w:val="22"/>
          <w:szCs w:val="22"/>
        </w:rPr>
        <w:t>Výstavba technické infrastruktury</w:t>
      </w:r>
    </w:p>
    <w:p w:rsidR="00775C07" w:rsidRPr="00860B1C" w:rsidRDefault="00775C07" w:rsidP="00775C07">
      <w:pPr>
        <w:pStyle w:val="Normlnsmezerou0"/>
        <w:numPr>
          <w:ilvl w:val="0"/>
          <w:numId w:val="19"/>
        </w:numPr>
        <w:spacing w:before="0" w:after="0"/>
        <w:jc w:val="left"/>
        <w:rPr>
          <w:sz w:val="22"/>
          <w:szCs w:val="22"/>
        </w:rPr>
      </w:pPr>
      <w:r w:rsidRPr="00860B1C">
        <w:rPr>
          <w:sz w:val="22"/>
          <w:szCs w:val="22"/>
        </w:rPr>
        <w:t>Zajištění rozvoje a další výstavby podzemního díla</w:t>
      </w:r>
    </w:p>
    <w:p w:rsidR="00775C07" w:rsidRPr="00860B1C" w:rsidRDefault="00775C07" w:rsidP="00775C07">
      <w:pPr>
        <w:pStyle w:val="Normlnsmezerou0"/>
        <w:numPr>
          <w:ilvl w:val="0"/>
          <w:numId w:val="19"/>
        </w:numPr>
        <w:spacing w:before="0" w:after="0"/>
        <w:jc w:val="left"/>
        <w:rPr>
          <w:sz w:val="22"/>
          <w:szCs w:val="22"/>
        </w:rPr>
      </w:pPr>
      <w:r w:rsidRPr="00860B1C">
        <w:rPr>
          <w:sz w:val="22"/>
          <w:szCs w:val="22"/>
        </w:rPr>
        <w:t>Zajištění a koordinace rozvoje povrchového areálu</w:t>
      </w:r>
    </w:p>
    <w:p w:rsidR="00775C07" w:rsidRPr="00860B1C" w:rsidRDefault="00775C07" w:rsidP="00775C07">
      <w:pPr>
        <w:pStyle w:val="Normlnsmezerou0"/>
        <w:numPr>
          <w:ilvl w:val="0"/>
          <w:numId w:val="19"/>
        </w:numPr>
        <w:spacing w:before="0" w:after="0"/>
        <w:jc w:val="left"/>
        <w:rPr>
          <w:sz w:val="22"/>
          <w:szCs w:val="22"/>
        </w:rPr>
      </w:pPr>
      <w:r w:rsidRPr="00860B1C">
        <w:rPr>
          <w:sz w:val="22"/>
          <w:szCs w:val="22"/>
        </w:rPr>
        <w:t>Schopnost aktivní prezentace pracoviště veřejnosti in-situ</w:t>
      </w:r>
    </w:p>
    <w:p w:rsidR="00775C07" w:rsidRPr="00860B1C" w:rsidRDefault="00775C07" w:rsidP="00775C07">
      <w:pPr>
        <w:pStyle w:val="Normlnsmezerou0"/>
        <w:numPr>
          <w:ilvl w:val="12"/>
          <w:numId w:val="0"/>
        </w:numPr>
        <w:spacing w:before="0" w:after="0"/>
        <w:jc w:val="left"/>
        <w:rPr>
          <w:sz w:val="22"/>
          <w:szCs w:val="22"/>
        </w:rPr>
      </w:pPr>
    </w:p>
    <w:p w:rsidR="00775C07" w:rsidRPr="00860B1C" w:rsidRDefault="00775C07" w:rsidP="00775C07">
      <w:pPr>
        <w:pStyle w:val="Normlnsmezerou0"/>
        <w:numPr>
          <w:ilvl w:val="12"/>
          <w:numId w:val="0"/>
        </w:numPr>
        <w:spacing w:before="0" w:after="0"/>
        <w:jc w:val="left"/>
        <w:rPr>
          <w:sz w:val="22"/>
          <w:szCs w:val="22"/>
        </w:rPr>
      </w:pPr>
      <w:r w:rsidRPr="00860B1C">
        <w:rPr>
          <w:sz w:val="22"/>
          <w:szCs w:val="22"/>
        </w:rPr>
        <w:t>TECHNICKÝ SPECIALISTA – Technickoadministrativní pracovník podzemní laboratoře</w:t>
      </w:r>
    </w:p>
    <w:p w:rsidR="00775C07" w:rsidRPr="00860B1C" w:rsidRDefault="00775C07" w:rsidP="00775C07">
      <w:pPr>
        <w:pStyle w:val="Normlnsmezerou0"/>
        <w:numPr>
          <w:ilvl w:val="12"/>
          <w:numId w:val="0"/>
        </w:numPr>
        <w:spacing w:before="0" w:after="0"/>
        <w:jc w:val="left"/>
        <w:rPr>
          <w:sz w:val="22"/>
          <w:szCs w:val="22"/>
        </w:rPr>
      </w:pPr>
      <w:r w:rsidRPr="00860B1C">
        <w:rPr>
          <w:sz w:val="22"/>
          <w:szCs w:val="22"/>
        </w:rPr>
        <w:t>Náplň práce:</w:t>
      </w:r>
    </w:p>
    <w:p w:rsidR="00775C07" w:rsidRPr="00860B1C" w:rsidRDefault="00775C07" w:rsidP="00775C07">
      <w:pPr>
        <w:pStyle w:val="Normlnsmezerou0"/>
        <w:numPr>
          <w:ilvl w:val="0"/>
          <w:numId w:val="21"/>
        </w:numPr>
        <w:spacing w:before="0" w:after="0"/>
        <w:jc w:val="left"/>
        <w:rPr>
          <w:sz w:val="22"/>
          <w:szCs w:val="22"/>
        </w:rPr>
      </w:pPr>
      <w:r w:rsidRPr="00860B1C">
        <w:rPr>
          <w:sz w:val="22"/>
          <w:szCs w:val="22"/>
        </w:rPr>
        <w:t>Vedení administrace vědeckých kontraktů</w:t>
      </w:r>
    </w:p>
    <w:p w:rsidR="00775C07" w:rsidRPr="00860B1C" w:rsidRDefault="00775C07" w:rsidP="00775C07">
      <w:pPr>
        <w:pStyle w:val="Normlnsmezerou0"/>
        <w:numPr>
          <w:ilvl w:val="0"/>
          <w:numId w:val="21"/>
        </w:numPr>
        <w:spacing w:before="0" w:after="0"/>
        <w:jc w:val="left"/>
        <w:rPr>
          <w:sz w:val="22"/>
          <w:szCs w:val="22"/>
        </w:rPr>
      </w:pPr>
      <w:r w:rsidRPr="00860B1C">
        <w:rPr>
          <w:sz w:val="22"/>
          <w:szCs w:val="22"/>
        </w:rPr>
        <w:t>Administrování grantových a projektů</w:t>
      </w:r>
    </w:p>
    <w:p w:rsidR="00775C07" w:rsidRPr="00860B1C" w:rsidRDefault="00775C07" w:rsidP="00775C07">
      <w:pPr>
        <w:pStyle w:val="Normlnsmezerou0"/>
        <w:numPr>
          <w:ilvl w:val="0"/>
          <w:numId w:val="21"/>
        </w:numPr>
        <w:spacing w:before="0" w:after="0"/>
        <w:jc w:val="left"/>
        <w:rPr>
          <w:sz w:val="22"/>
          <w:szCs w:val="22"/>
        </w:rPr>
      </w:pPr>
      <w:r w:rsidRPr="00860B1C">
        <w:rPr>
          <w:sz w:val="22"/>
          <w:szCs w:val="22"/>
        </w:rPr>
        <w:t xml:space="preserve">Participace na vedení mezinárodních projektů </w:t>
      </w:r>
    </w:p>
    <w:p w:rsidR="00775C07" w:rsidRPr="00860B1C" w:rsidRDefault="00775C07" w:rsidP="00775C07">
      <w:pPr>
        <w:pStyle w:val="Normlnsmezerou0"/>
        <w:numPr>
          <w:ilvl w:val="0"/>
          <w:numId w:val="21"/>
        </w:numPr>
        <w:spacing w:before="0" w:after="0"/>
        <w:jc w:val="left"/>
        <w:rPr>
          <w:sz w:val="22"/>
          <w:szCs w:val="22"/>
        </w:rPr>
      </w:pPr>
      <w:r w:rsidRPr="00860B1C">
        <w:rPr>
          <w:sz w:val="22"/>
          <w:szCs w:val="22"/>
        </w:rPr>
        <w:t>Aktivní prezentace pracoviště na mezinárodních konferencích</w:t>
      </w:r>
    </w:p>
    <w:p w:rsidR="00775C07" w:rsidRPr="00860B1C" w:rsidRDefault="00775C07" w:rsidP="00775C07">
      <w:pPr>
        <w:pStyle w:val="Normlnsmezerou0"/>
        <w:numPr>
          <w:ilvl w:val="0"/>
          <w:numId w:val="21"/>
        </w:numPr>
        <w:spacing w:before="0" w:after="0"/>
        <w:jc w:val="left"/>
        <w:rPr>
          <w:sz w:val="22"/>
          <w:szCs w:val="22"/>
        </w:rPr>
      </w:pPr>
      <w:r w:rsidRPr="00860B1C">
        <w:rPr>
          <w:sz w:val="22"/>
          <w:szCs w:val="22"/>
        </w:rPr>
        <w:t>Aktivní prezentace pracoviště laické veřejnosti in-situ</w:t>
      </w:r>
    </w:p>
    <w:p w:rsidR="0089031A" w:rsidRPr="00860B1C" w:rsidRDefault="00775C07" w:rsidP="00775C07">
      <w:pPr>
        <w:pStyle w:val="Normlnsmezerou0"/>
        <w:numPr>
          <w:ilvl w:val="0"/>
          <w:numId w:val="21"/>
        </w:numPr>
        <w:spacing w:before="0" w:after="0"/>
        <w:jc w:val="left"/>
        <w:rPr>
          <w:sz w:val="22"/>
          <w:szCs w:val="22"/>
        </w:rPr>
      </w:pPr>
      <w:r w:rsidRPr="00860B1C">
        <w:rPr>
          <w:sz w:val="22"/>
          <w:szCs w:val="22"/>
        </w:rPr>
        <w:t>Vedení ekonomické části provozu</w:t>
      </w:r>
    </w:p>
    <w:p w:rsidR="00775C07" w:rsidRDefault="00775C07" w:rsidP="007D0F15">
      <w:pPr>
        <w:pStyle w:val="Normlnsmezerou0"/>
        <w:numPr>
          <w:ilvl w:val="12"/>
          <w:numId w:val="0"/>
        </w:numPr>
        <w:spacing w:before="0" w:after="0"/>
        <w:ind w:left="720"/>
        <w:jc w:val="left"/>
        <w:rPr>
          <w:sz w:val="22"/>
          <w:szCs w:val="22"/>
        </w:rPr>
      </w:pPr>
    </w:p>
    <w:p w:rsidR="007D0F15" w:rsidRPr="00860B1C" w:rsidRDefault="007D0F15" w:rsidP="007D0F15">
      <w:pPr>
        <w:pStyle w:val="Normlnsmezerou0"/>
        <w:numPr>
          <w:ilvl w:val="12"/>
          <w:numId w:val="0"/>
        </w:numPr>
        <w:spacing w:before="0" w:after="0"/>
        <w:jc w:val="left"/>
        <w:rPr>
          <w:sz w:val="22"/>
          <w:szCs w:val="22"/>
        </w:rPr>
      </w:pPr>
      <w:r w:rsidRPr="00860B1C">
        <w:rPr>
          <w:sz w:val="22"/>
          <w:szCs w:val="22"/>
        </w:rPr>
        <w:t xml:space="preserve">TECHNICKÝ SPECIALISTA – Technickoadministrativní pracovník </w:t>
      </w:r>
      <w:r>
        <w:rPr>
          <w:sz w:val="22"/>
          <w:szCs w:val="22"/>
        </w:rPr>
        <w:t>ICT</w:t>
      </w:r>
    </w:p>
    <w:p w:rsidR="007D0F15" w:rsidRDefault="007D0F15" w:rsidP="007D0F15">
      <w:pPr>
        <w:pStyle w:val="Normlnsmezerou0"/>
        <w:numPr>
          <w:ilvl w:val="12"/>
          <w:numId w:val="0"/>
        </w:numPr>
        <w:spacing w:before="0" w:after="0"/>
        <w:jc w:val="left"/>
        <w:rPr>
          <w:sz w:val="22"/>
          <w:szCs w:val="22"/>
        </w:rPr>
      </w:pPr>
      <w:r w:rsidRPr="00860B1C">
        <w:rPr>
          <w:sz w:val="22"/>
          <w:szCs w:val="22"/>
        </w:rPr>
        <w:t>Náplň práce:</w:t>
      </w:r>
    </w:p>
    <w:p w:rsidR="007D0F15" w:rsidRPr="007D0F15" w:rsidRDefault="007D0F15" w:rsidP="007D0F15">
      <w:pPr>
        <w:pStyle w:val="Normlnsmezerou0"/>
        <w:numPr>
          <w:ilvl w:val="0"/>
          <w:numId w:val="23"/>
        </w:numPr>
        <w:spacing w:before="0" w:after="0"/>
        <w:jc w:val="left"/>
        <w:rPr>
          <w:sz w:val="22"/>
          <w:szCs w:val="22"/>
        </w:rPr>
      </w:pPr>
      <w:r w:rsidRPr="007D0F15">
        <w:rPr>
          <w:sz w:val="22"/>
          <w:szCs w:val="22"/>
        </w:rPr>
        <w:t>Správa a vývoj informačního systému SÚRAO</w:t>
      </w:r>
    </w:p>
    <w:p w:rsidR="007D0F15" w:rsidRPr="007D0F15" w:rsidRDefault="007D0F15" w:rsidP="007D0F15">
      <w:pPr>
        <w:pStyle w:val="Normlnsmezerou0"/>
        <w:numPr>
          <w:ilvl w:val="0"/>
          <w:numId w:val="23"/>
        </w:numPr>
        <w:spacing w:before="0" w:after="0"/>
        <w:jc w:val="left"/>
        <w:rPr>
          <w:sz w:val="22"/>
          <w:szCs w:val="22"/>
        </w:rPr>
      </w:pPr>
      <w:r w:rsidRPr="007D0F15">
        <w:rPr>
          <w:sz w:val="22"/>
          <w:szCs w:val="22"/>
        </w:rPr>
        <w:t>Správa ostatních ICT systémů SÚRAO</w:t>
      </w:r>
    </w:p>
    <w:p w:rsidR="007D0F15" w:rsidRPr="007D0F15" w:rsidRDefault="007D0F15" w:rsidP="007D0F15">
      <w:pPr>
        <w:pStyle w:val="Normlnsmezerou0"/>
        <w:numPr>
          <w:ilvl w:val="0"/>
          <w:numId w:val="23"/>
        </w:numPr>
        <w:spacing w:before="0" w:after="0"/>
        <w:jc w:val="left"/>
        <w:rPr>
          <w:sz w:val="22"/>
          <w:szCs w:val="22"/>
        </w:rPr>
      </w:pPr>
      <w:r w:rsidRPr="007D0F15">
        <w:rPr>
          <w:sz w:val="22"/>
          <w:szCs w:val="22"/>
        </w:rPr>
        <w:t>Správa HW, SW a počítačové sítě SÚRAO</w:t>
      </w:r>
    </w:p>
    <w:p w:rsidR="007D0F15" w:rsidRPr="007D0F15" w:rsidRDefault="007D0F15" w:rsidP="007D0F15">
      <w:pPr>
        <w:pStyle w:val="Normlnsmezerou0"/>
        <w:numPr>
          <w:ilvl w:val="0"/>
          <w:numId w:val="23"/>
        </w:numPr>
        <w:spacing w:before="0" w:after="0"/>
        <w:jc w:val="left"/>
        <w:rPr>
          <w:sz w:val="22"/>
          <w:szCs w:val="22"/>
        </w:rPr>
      </w:pPr>
      <w:r w:rsidRPr="007D0F15">
        <w:rPr>
          <w:sz w:val="22"/>
          <w:szCs w:val="22"/>
        </w:rPr>
        <w:t>Spolupráce při zajištění bezpečnosti počítačové sítě, dat a zálohování dat</w:t>
      </w:r>
    </w:p>
    <w:p w:rsidR="007D0F15" w:rsidRPr="007D0F15" w:rsidRDefault="007D0F15" w:rsidP="007D0F15">
      <w:pPr>
        <w:pStyle w:val="Normlnsmezerou0"/>
        <w:numPr>
          <w:ilvl w:val="0"/>
          <w:numId w:val="23"/>
        </w:numPr>
        <w:spacing w:before="0" w:after="0"/>
        <w:jc w:val="left"/>
        <w:rPr>
          <w:sz w:val="22"/>
          <w:szCs w:val="22"/>
        </w:rPr>
      </w:pPr>
      <w:r w:rsidRPr="007D0F15">
        <w:rPr>
          <w:sz w:val="22"/>
          <w:szCs w:val="22"/>
        </w:rPr>
        <w:t>Správa telekomunikačních služeb</w:t>
      </w:r>
    </w:p>
    <w:p w:rsidR="007D0F15" w:rsidRPr="007D0F15" w:rsidRDefault="007D0F15" w:rsidP="007D0F15">
      <w:pPr>
        <w:pStyle w:val="Normlnsmezerou0"/>
        <w:numPr>
          <w:ilvl w:val="0"/>
          <w:numId w:val="23"/>
        </w:numPr>
        <w:spacing w:before="0" w:after="0"/>
        <w:jc w:val="left"/>
        <w:rPr>
          <w:sz w:val="22"/>
          <w:szCs w:val="22"/>
        </w:rPr>
      </w:pPr>
      <w:r w:rsidRPr="007D0F15">
        <w:rPr>
          <w:sz w:val="22"/>
          <w:szCs w:val="22"/>
        </w:rPr>
        <w:t>Technická podpora uživatelů SÚRAO</w:t>
      </w:r>
    </w:p>
    <w:p w:rsidR="007D0F15" w:rsidRPr="007D0F15" w:rsidRDefault="007D0F15" w:rsidP="007D0F15">
      <w:pPr>
        <w:pStyle w:val="Normlnsmezerou0"/>
        <w:numPr>
          <w:ilvl w:val="0"/>
          <w:numId w:val="23"/>
        </w:numPr>
        <w:spacing w:before="0" w:after="0"/>
        <w:jc w:val="left"/>
        <w:rPr>
          <w:sz w:val="22"/>
          <w:szCs w:val="22"/>
        </w:rPr>
      </w:pPr>
      <w:r w:rsidRPr="007D0F15">
        <w:rPr>
          <w:sz w:val="22"/>
          <w:szCs w:val="22"/>
        </w:rPr>
        <w:t>Spolupráce při zpracování plánu materiálního zabezpečení IT v SÚRAO</w:t>
      </w:r>
    </w:p>
    <w:p w:rsidR="007D0F15" w:rsidRPr="007D0F15" w:rsidRDefault="007D0F15" w:rsidP="007D0F15">
      <w:pPr>
        <w:pStyle w:val="Normlnsmezerou0"/>
        <w:numPr>
          <w:ilvl w:val="0"/>
          <w:numId w:val="23"/>
        </w:numPr>
        <w:spacing w:before="0" w:after="0"/>
        <w:jc w:val="left"/>
        <w:rPr>
          <w:sz w:val="22"/>
          <w:szCs w:val="22"/>
        </w:rPr>
      </w:pPr>
      <w:r w:rsidRPr="007D0F15">
        <w:rPr>
          <w:sz w:val="22"/>
          <w:szCs w:val="22"/>
        </w:rPr>
        <w:t>Nákup HW, SW</w:t>
      </w:r>
    </w:p>
    <w:p w:rsidR="007D0F15" w:rsidRPr="007D0F15" w:rsidRDefault="007D0F15" w:rsidP="007D0F15">
      <w:pPr>
        <w:pStyle w:val="Normlnsmezerou0"/>
        <w:numPr>
          <w:ilvl w:val="0"/>
          <w:numId w:val="23"/>
        </w:numPr>
        <w:spacing w:before="0" w:after="0"/>
        <w:jc w:val="left"/>
        <w:rPr>
          <w:sz w:val="22"/>
          <w:szCs w:val="22"/>
        </w:rPr>
      </w:pPr>
      <w:r w:rsidRPr="007D0F15">
        <w:rPr>
          <w:sz w:val="22"/>
          <w:szCs w:val="22"/>
        </w:rPr>
        <w:t>Spolupráce při zpracování koncepce IT v SÚRAO</w:t>
      </w:r>
    </w:p>
    <w:p w:rsidR="007D0F15" w:rsidRPr="007D0F15" w:rsidRDefault="007D0F15" w:rsidP="007D0F15">
      <w:pPr>
        <w:pStyle w:val="Normlnsmezerou0"/>
        <w:numPr>
          <w:ilvl w:val="0"/>
          <w:numId w:val="23"/>
        </w:numPr>
        <w:spacing w:before="0" w:after="0"/>
        <w:jc w:val="left"/>
        <w:rPr>
          <w:sz w:val="22"/>
          <w:szCs w:val="22"/>
        </w:rPr>
      </w:pPr>
      <w:r w:rsidRPr="007D0F15">
        <w:rPr>
          <w:sz w:val="22"/>
          <w:szCs w:val="22"/>
        </w:rPr>
        <w:t>Technická spolupráce na tvorbě webové prezentace SÚRAO</w:t>
      </w:r>
    </w:p>
    <w:p w:rsidR="007D0F15" w:rsidRPr="007D0F15" w:rsidRDefault="007D0F15" w:rsidP="007D0F15">
      <w:pPr>
        <w:pStyle w:val="Normlnsmezerou0"/>
        <w:numPr>
          <w:ilvl w:val="0"/>
          <w:numId w:val="23"/>
        </w:numPr>
        <w:spacing w:before="0" w:after="0"/>
        <w:jc w:val="left"/>
        <w:rPr>
          <w:sz w:val="22"/>
          <w:szCs w:val="22"/>
        </w:rPr>
      </w:pPr>
      <w:r w:rsidRPr="007D0F15">
        <w:rPr>
          <w:sz w:val="22"/>
          <w:szCs w:val="22"/>
        </w:rPr>
        <w:t>Zajišťování spolupráce externích firem v oblasti IT</w:t>
      </w:r>
    </w:p>
    <w:p w:rsidR="007D0F15" w:rsidRDefault="007D0F15" w:rsidP="007D0F15">
      <w:pPr>
        <w:pStyle w:val="Normlnsmezerou0"/>
        <w:numPr>
          <w:ilvl w:val="0"/>
          <w:numId w:val="23"/>
        </w:numPr>
        <w:spacing w:before="0" w:after="0"/>
        <w:jc w:val="left"/>
        <w:rPr>
          <w:sz w:val="22"/>
          <w:szCs w:val="22"/>
        </w:rPr>
      </w:pPr>
      <w:r w:rsidRPr="007D0F15">
        <w:rPr>
          <w:sz w:val="22"/>
          <w:szCs w:val="22"/>
        </w:rPr>
        <w:t>Spolupráce při správě HW a SW v informačních střediscích SÚRAO a ve vybraných lokalitách</w:t>
      </w:r>
    </w:p>
    <w:p w:rsidR="007D0F15" w:rsidRPr="00860B1C" w:rsidRDefault="007D0F15" w:rsidP="00DA0B00">
      <w:pPr>
        <w:pStyle w:val="Normlnsmezerou0"/>
        <w:numPr>
          <w:ilvl w:val="12"/>
          <w:numId w:val="0"/>
        </w:numPr>
        <w:spacing w:before="0" w:after="0"/>
        <w:ind w:left="709"/>
        <w:jc w:val="left"/>
        <w:rPr>
          <w:sz w:val="22"/>
          <w:szCs w:val="22"/>
        </w:rPr>
      </w:pPr>
    </w:p>
    <w:p w:rsidR="00775C07" w:rsidRDefault="00EE2846" w:rsidP="00F87530">
      <w:pPr>
        <w:pStyle w:val="Normlnsmezerou0"/>
        <w:numPr>
          <w:ilvl w:val="12"/>
          <w:numId w:val="0"/>
        </w:numPr>
        <w:spacing w:before="0" w:after="0"/>
        <w:rPr>
          <w:sz w:val="20"/>
          <w:szCs w:val="20"/>
        </w:rPr>
      </w:pPr>
      <w:r>
        <w:rPr>
          <w:sz w:val="22"/>
          <w:szCs w:val="22"/>
        </w:rPr>
        <w:t xml:space="preserve">Výdaje střediska 2 – ÚRAO Dukovany zahrnují zejména výdaje na </w:t>
      </w:r>
      <w:r w:rsidR="00F87530" w:rsidRPr="00F87530">
        <w:rPr>
          <w:sz w:val="22"/>
          <w:szCs w:val="22"/>
        </w:rPr>
        <w:t>dodavatelské zajištění provozu ÚRAO Dukovany (ČEZ, a. s.)</w:t>
      </w:r>
      <w:r w:rsidR="00F87530">
        <w:rPr>
          <w:sz w:val="22"/>
          <w:szCs w:val="22"/>
        </w:rPr>
        <w:t xml:space="preserve">, </w:t>
      </w:r>
      <w:r w:rsidR="00F87530" w:rsidRPr="00F87530">
        <w:rPr>
          <w:sz w:val="22"/>
          <w:szCs w:val="22"/>
        </w:rPr>
        <w:t>příspěvek obci Rouchovany dle nařízení vlády č.</w:t>
      </w:r>
      <w:r w:rsidR="00F87530">
        <w:rPr>
          <w:sz w:val="22"/>
          <w:szCs w:val="22"/>
        </w:rPr>
        <w:t> </w:t>
      </w:r>
      <w:r w:rsidR="00F87530" w:rsidRPr="00F87530">
        <w:rPr>
          <w:sz w:val="22"/>
          <w:szCs w:val="22"/>
        </w:rPr>
        <w:t>416/2002 Sb. ve výši 4 mil. Kč</w:t>
      </w:r>
      <w:r w:rsidR="00F87530">
        <w:rPr>
          <w:sz w:val="22"/>
          <w:szCs w:val="22"/>
        </w:rPr>
        <w:t xml:space="preserve"> (pol. 532) a p</w:t>
      </w:r>
      <w:r w:rsidR="00F87530" w:rsidRPr="00F87530">
        <w:rPr>
          <w:sz w:val="22"/>
          <w:szCs w:val="22"/>
        </w:rPr>
        <w:t>oplatek za odbornou činnost SÚJB</w:t>
      </w:r>
      <w:r w:rsidR="00F87530">
        <w:rPr>
          <w:sz w:val="22"/>
          <w:szCs w:val="22"/>
        </w:rPr>
        <w:t xml:space="preserve"> (pol. 536)</w:t>
      </w:r>
      <w:r w:rsidR="00F87530" w:rsidRPr="00F87530">
        <w:rPr>
          <w:sz w:val="22"/>
          <w:szCs w:val="22"/>
        </w:rPr>
        <w:t>.</w:t>
      </w:r>
    </w:p>
    <w:p w:rsidR="00EE2846" w:rsidRDefault="002B4C07" w:rsidP="002B4C07">
      <w:pPr>
        <w:pStyle w:val="Normlnsmezerou0"/>
        <w:numPr>
          <w:ilvl w:val="12"/>
          <w:numId w:val="0"/>
        </w:numPr>
        <w:spacing w:before="0" w:after="0"/>
        <w:rPr>
          <w:sz w:val="22"/>
          <w:szCs w:val="22"/>
        </w:rPr>
      </w:pPr>
      <w:r>
        <w:rPr>
          <w:sz w:val="22"/>
          <w:szCs w:val="22"/>
        </w:rPr>
        <w:t xml:space="preserve">Výdaje střediska 3 – ÚRAO Richard a Bratrství zahrnují zejména výdaje na </w:t>
      </w:r>
      <w:r w:rsidRPr="00F87530">
        <w:rPr>
          <w:sz w:val="22"/>
          <w:szCs w:val="22"/>
        </w:rPr>
        <w:t>dodavatelské zajištění provoz</w:t>
      </w:r>
      <w:r>
        <w:rPr>
          <w:sz w:val="22"/>
          <w:szCs w:val="22"/>
        </w:rPr>
        <w:t xml:space="preserve">ních služeb, materiálů a energií, </w:t>
      </w:r>
      <w:r w:rsidRPr="00F87530">
        <w:rPr>
          <w:sz w:val="22"/>
          <w:szCs w:val="22"/>
        </w:rPr>
        <w:t>příspěvek obc</w:t>
      </w:r>
      <w:r>
        <w:rPr>
          <w:sz w:val="22"/>
          <w:szCs w:val="22"/>
        </w:rPr>
        <w:t>ím</w:t>
      </w:r>
      <w:r w:rsidRPr="00F87530">
        <w:rPr>
          <w:sz w:val="22"/>
          <w:szCs w:val="22"/>
        </w:rPr>
        <w:t xml:space="preserve"> </w:t>
      </w:r>
      <w:r>
        <w:rPr>
          <w:sz w:val="22"/>
          <w:szCs w:val="22"/>
        </w:rPr>
        <w:t>Litoměřice a Jáchymov</w:t>
      </w:r>
      <w:r w:rsidRPr="00F87530">
        <w:rPr>
          <w:sz w:val="22"/>
          <w:szCs w:val="22"/>
        </w:rPr>
        <w:t xml:space="preserve"> dle nařízení vlády č.</w:t>
      </w:r>
      <w:r>
        <w:rPr>
          <w:sz w:val="22"/>
          <w:szCs w:val="22"/>
        </w:rPr>
        <w:t> </w:t>
      </w:r>
      <w:r w:rsidRPr="00F87530">
        <w:rPr>
          <w:sz w:val="22"/>
          <w:szCs w:val="22"/>
        </w:rPr>
        <w:t xml:space="preserve">416/2002 Sb. </w:t>
      </w:r>
      <w:r>
        <w:rPr>
          <w:sz w:val="22"/>
          <w:szCs w:val="22"/>
        </w:rPr>
        <w:t>po</w:t>
      </w:r>
      <w:r w:rsidRPr="00F87530">
        <w:rPr>
          <w:sz w:val="22"/>
          <w:szCs w:val="22"/>
        </w:rPr>
        <w:t xml:space="preserve"> 4 mil. Kč</w:t>
      </w:r>
      <w:r>
        <w:rPr>
          <w:sz w:val="22"/>
          <w:szCs w:val="22"/>
        </w:rPr>
        <w:t xml:space="preserve"> (pol. 532) a p</w:t>
      </w:r>
      <w:r w:rsidRPr="00F87530">
        <w:rPr>
          <w:sz w:val="22"/>
          <w:szCs w:val="22"/>
        </w:rPr>
        <w:t>oplatek za odbornou činnost SÚJB</w:t>
      </w:r>
      <w:r>
        <w:rPr>
          <w:sz w:val="22"/>
          <w:szCs w:val="22"/>
        </w:rPr>
        <w:t xml:space="preserve"> (pol. 536)</w:t>
      </w:r>
      <w:r w:rsidRPr="00F87530">
        <w:rPr>
          <w:sz w:val="22"/>
          <w:szCs w:val="22"/>
        </w:rPr>
        <w:t>.</w:t>
      </w:r>
      <w:r>
        <w:rPr>
          <w:sz w:val="22"/>
          <w:szCs w:val="22"/>
        </w:rPr>
        <w:t xml:space="preserve"> Kapitálové výdaje jsou určeny pro provedení rekonstrukcí v ÚRAO Richard.</w:t>
      </w:r>
    </w:p>
    <w:p w:rsidR="002B4C07" w:rsidRDefault="00FA4BAF" w:rsidP="002B4C07">
      <w:pPr>
        <w:pStyle w:val="Normlnsmezerou0"/>
        <w:numPr>
          <w:ilvl w:val="12"/>
          <w:numId w:val="0"/>
        </w:numPr>
        <w:spacing w:before="0" w:after="0"/>
        <w:rPr>
          <w:sz w:val="20"/>
          <w:szCs w:val="20"/>
        </w:rPr>
      </w:pPr>
      <w:r>
        <w:rPr>
          <w:sz w:val="22"/>
          <w:szCs w:val="22"/>
        </w:rPr>
        <w:t xml:space="preserve">Výdaje střediska 4 – Příprava HÚ zahrnují v oblasti neinvestičních nákupů zejména prostředky pro zajištění provozu PVP Bukov (48 mil. Kč), kapitálové výdaje pokrývají zejména </w:t>
      </w:r>
      <w:r w:rsidRPr="00F87530">
        <w:rPr>
          <w:sz w:val="22"/>
          <w:szCs w:val="22"/>
        </w:rPr>
        <w:t xml:space="preserve">dodavatelské zajištění </w:t>
      </w:r>
      <w:r>
        <w:rPr>
          <w:sz w:val="22"/>
          <w:szCs w:val="22"/>
        </w:rPr>
        <w:t xml:space="preserve">geologických </w:t>
      </w:r>
      <w:r w:rsidRPr="00F87530">
        <w:rPr>
          <w:sz w:val="22"/>
          <w:szCs w:val="22"/>
        </w:rPr>
        <w:t>pr</w:t>
      </w:r>
      <w:r>
        <w:rPr>
          <w:sz w:val="22"/>
          <w:szCs w:val="22"/>
        </w:rPr>
        <w:t>ůzkumů v 7 vytipovaných lokalitách (75,5 mil. Kč) a geologického výzkumu v lokalitách v blízkosti jaderných elektráren Dukovany a</w:t>
      </w:r>
      <w:r w:rsidR="008978AA">
        <w:rPr>
          <w:sz w:val="22"/>
          <w:szCs w:val="22"/>
        </w:rPr>
        <w:t> </w:t>
      </w:r>
      <w:r>
        <w:rPr>
          <w:sz w:val="22"/>
          <w:szCs w:val="22"/>
        </w:rPr>
        <w:t>Temelín, dále výdaje na dodavatelské zajištění výzkumu a vývoje, projektové podpory vybudování infrastruktury PVP Bukov.</w:t>
      </w:r>
    </w:p>
    <w:p w:rsidR="00EE2846" w:rsidRDefault="00FA4BAF" w:rsidP="008146EF">
      <w:pPr>
        <w:pStyle w:val="Normlnsmezerou0"/>
        <w:numPr>
          <w:ilvl w:val="12"/>
          <w:numId w:val="0"/>
        </w:numPr>
        <w:spacing w:before="0" w:after="0"/>
        <w:rPr>
          <w:sz w:val="20"/>
          <w:szCs w:val="20"/>
        </w:rPr>
      </w:pPr>
      <w:r>
        <w:rPr>
          <w:sz w:val="22"/>
          <w:szCs w:val="22"/>
        </w:rPr>
        <w:t>Výdaje střediska 5 – Podpora cílů koncepce zahrnují zejména</w:t>
      </w:r>
      <w:r w:rsidR="008146EF">
        <w:rPr>
          <w:sz w:val="22"/>
          <w:szCs w:val="22"/>
        </w:rPr>
        <w:t xml:space="preserve"> </w:t>
      </w:r>
      <w:r w:rsidR="008146EF" w:rsidRPr="008146EF">
        <w:rPr>
          <w:sz w:val="22"/>
          <w:szCs w:val="22"/>
        </w:rPr>
        <w:t>příspěvky obcím z jaderného účtu v lokalitách s průzkumným územím pro HÚ v celkové výši 72 mil. Kč</w:t>
      </w:r>
      <w:r w:rsidR="008146EF">
        <w:rPr>
          <w:sz w:val="22"/>
          <w:szCs w:val="22"/>
        </w:rPr>
        <w:t xml:space="preserve"> (pol. 532) a dále </w:t>
      </w:r>
      <w:r w:rsidR="008146EF" w:rsidRPr="008146EF">
        <w:rPr>
          <w:sz w:val="22"/>
          <w:szCs w:val="22"/>
        </w:rPr>
        <w:t>výdaje na zajištění služeb pro podporu komunikace, inzerci</w:t>
      </w:r>
      <w:r w:rsidR="008146EF">
        <w:rPr>
          <w:sz w:val="22"/>
          <w:szCs w:val="22"/>
        </w:rPr>
        <w:t xml:space="preserve"> apod.</w:t>
      </w:r>
    </w:p>
    <w:p w:rsidR="00775C07" w:rsidRDefault="00775C07" w:rsidP="00DA0B00">
      <w:pPr>
        <w:pStyle w:val="Normlnsmezerou0"/>
        <w:numPr>
          <w:ilvl w:val="12"/>
          <w:numId w:val="0"/>
        </w:numPr>
        <w:spacing w:before="0" w:after="0"/>
        <w:ind w:left="709"/>
        <w:jc w:val="left"/>
        <w:rPr>
          <w:sz w:val="20"/>
          <w:szCs w:val="20"/>
        </w:rPr>
      </w:pPr>
    </w:p>
    <w:p w:rsidR="0089031A" w:rsidRPr="00C66D05" w:rsidRDefault="0089031A" w:rsidP="0089031A">
      <w:pPr>
        <w:pStyle w:val="Nadpis2"/>
        <w:tabs>
          <w:tab w:val="clear" w:pos="0"/>
        </w:tabs>
        <w:rPr>
          <w:rFonts w:ascii="Arial" w:hAnsi="Arial" w:cs="Arial"/>
        </w:rPr>
      </w:pPr>
      <w:bookmarkStart w:id="176" w:name="_Toc453575880"/>
      <w:r w:rsidRPr="00C66D05">
        <w:rPr>
          <w:rFonts w:ascii="Arial" w:hAnsi="Arial" w:cs="Arial"/>
        </w:rPr>
        <w:t xml:space="preserve">Příloha č. </w:t>
      </w:r>
      <w:r>
        <w:rPr>
          <w:rFonts w:ascii="Arial" w:hAnsi="Arial" w:cs="Arial"/>
        </w:rPr>
        <w:t>2</w:t>
      </w:r>
      <w:r w:rsidRPr="00C66D05">
        <w:rPr>
          <w:rFonts w:ascii="Arial" w:hAnsi="Arial" w:cs="Arial"/>
        </w:rPr>
        <w:t>: P</w:t>
      </w:r>
      <w:r>
        <w:rPr>
          <w:rFonts w:ascii="Arial" w:hAnsi="Arial" w:cs="Arial"/>
        </w:rPr>
        <w:t xml:space="preserve">řehled použití příspěvku </w:t>
      </w:r>
      <w:r w:rsidR="00FC74C5">
        <w:rPr>
          <w:rFonts w:ascii="Arial" w:hAnsi="Arial" w:cs="Arial"/>
        </w:rPr>
        <w:t>z jaderného účtu</w:t>
      </w:r>
      <w:bookmarkEnd w:id="176"/>
      <w:r>
        <w:rPr>
          <w:rFonts w:ascii="Arial" w:hAnsi="Arial" w:cs="Arial"/>
        </w:rPr>
        <w:t xml:space="preserve"> </w:t>
      </w:r>
    </w:p>
    <w:bookmarkEnd w:id="0"/>
    <w:bookmarkEnd w:id="1"/>
    <w:p w:rsidR="0089031A" w:rsidRDefault="0089031A" w:rsidP="00DA0B00">
      <w:pPr>
        <w:pStyle w:val="Normlnsmezerou0"/>
        <w:numPr>
          <w:ilvl w:val="12"/>
          <w:numId w:val="0"/>
        </w:numPr>
        <w:spacing w:before="0" w:after="0"/>
        <w:ind w:left="709"/>
        <w:jc w:val="left"/>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134"/>
        <w:gridCol w:w="1559"/>
        <w:gridCol w:w="4253"/>
      </w:tblGrid>
      <w:tr w:rsidR="00BC76AB" w:rsidRPr="003F2F37" w:rsidTr="003F2F37">
        <w:trPr>
          <w:trHeight w:val="227"/>
        </w:trPr>
        <w:tc>
          <w:tcPr>
            <w:tcW w:w="1242" w:type="dxa"/>
            <w:tcBorders>
              <w:top w:val="single" w:sz="12" w:space="0" w:color="auto"/>
              <w:left w:val="single" w:sz="12" w:space="0" w:color="auto"/>
              <w:bottom w:val="single" w:sz="12" w:space="0" w:color="auto"/>
            </w:tcBorders>
            <w:shd w:val="clear" w:color="auto" w:fill="DDD9C3"/>
            <w:vAlign w:val="center"/>
          </w:tcPr>
          <w:p w:rsidR="00BC76AB" w:rsidRPr="003F2F37" w:rsidRDefault="00BC76AB" w:rsidP="003F2F37">
            <w:pPr>
              <w:jc w:val="center"/>
              <w:rPr>
                <w:rFonts w:ascii="Arial" w:eastAsia="Calibri" w:hAnsi="Arial" w:cs="Arial"/>
                <w:b/>
                <w:sz w:val="18"/>
                <w:szCs w:val="18"/>
              </w:rPr>
            </w:pPr>
            <w:r w:rsidRPr="003F2F37">
              <w:rPr>
                <w:rFonts w:ascii="Arial" w:eastAsia="Calibri" w:hAnsi="Arial" w:cs="Arial"/>
                <w:b/>
                <w:sz w:val="18"/>
                <w:szCs w:val="18"/>
              </w:rPr>
              <w:t>Lokalita</w:t>
            </w:r>
          </w:p>
        </w:tc>
        <w:tc>
          <w:tcPr>
            <w:tcW w:w="1276" w:type="dxa"/>
            <w:tcBorders>
              <w:top w:val="single" w:sz="12" w:space="0" w:color="auto"/>
              <w:bottom w:val="single" w:sz="12" w:space="0" w:color="auto"/>
            </w:tcBorders>
            <w:shd w:val="clear" w:color="auto" w:fill="DDD9C3"/>
            <w:vAlign w:val="center"/>
          </w:tcPr>
          <w:p w:rsidR="00BC76AB" w:rsidRPr="003F2F37" w:rsidRDefault="00BC76AB" w:rsidP="003F2F37">
            <w:pPr>
              <w:jc w:val="center"/>
              <w:rPr>
                <w:rFonts w:ascii="Arial" w:eastAsia="Calibri" w:hAnsi="Arial" w:cs="Arial"/>
                <w:b/>
                <w:sz w:val="18"/>
                <w:szCs w:val="18"/>
              </w:rPr>
            </w:pPr>
            <w:r w:rsidRPr="003F2F37">
              <w:rPr>
                <w:rFonts w:ascii="Arial" w:eastAsia="Calibri" w:hAnsi="Arial" w:cs="Arial"/>
                <w:b/>
                <w:sz w:val="18"/>
                <w:szCs w:val="18"/>
              </w:rPr>
              <w:t>Obec</w:t>
            </w:r>
          </w:p>
        </w:tc>
        <w:tc>
          <w:tcPr>
            <w:tcW w:w="1134" w:type="dxa"/>
            <w:tcBorders>
              <w:top w:val="single" w:sz="12" w:space="0" w:color="auto"/>
              <w:bottom w:val="single" w:sz="12" w:space="0" w:color="auto"/>
            </w:tcBorders>
            <w:shd w:val="clear" w:color="auto" w:fill="DDD9C3"/>
            <w:vAlign w:val="center"/>
          </w:tcPr>
          <w:p w:rsidR="00BC76AB" w:rsidRPr="003F2F37" w:rsidRDefault="00BC76AB" w:rsidP="003F2F37">
            <w:pPr>
              <w:jc w:val="center"/>
              <w:rPr>
                <w:rFonts w:ascii="Arial" w:eastAsia="Calibri" w:hAnsi="Arial" w:cs="Arial"/>
                <w:b/>
                <w:sz w:val="18"/>
                <w:szCs w:val="18"/>
              </w:rPr>
            </w:pPr>
            <w:r w:rsidRPr="003F2F37">
              <w:rPr>
                <w:rFonts w:ascii="Arial" w:eastAsia="Calibri" w:hAnsi="Arial" w:cs="Arial"/>
                <w:b/>
                <w:sz w:val="18"/>
                <w:szCs w:val="18"/>
              </w:rPr>
              <w:t>Rozloha</w:t>
            </w:r>
          </w:p>
        </w:tc>
        <w:tc>
          <w:tcPr>
            <w:tcW w:w="1559" w:type="dxa"/>
            <w:tcBorders>
              <w:top w:val="single" w:sz="12" w:space="0" w:color="auto"/>
              <w:bottom w:val="single" w:sz="12" w:space="0" w:color="auto"/>
            </w:tcBorders>
            <w:shd w:val="clear" w:color="auto" w:fill="DDD9C3"/>
            <w:vAlign w:val="center"/>
          </w:tcPr>
          <w:p w:rsidR="00BC76AB" w:rsidRPr="003F2F37" w:rsidRDefault="00BC76AB" w:rsidP="003F2F37">
            <w:pPr>
              <w:jc w:val="center"/>
              <w:rPr>
                <w:rFonts w:ascii="Arial" w:eastAsia="Calibri" w:hAnsi="Arial" w:cs="Arial"/>
                <w:b/>
                <w:sz w:val="18"/>
                <w:szCs w:val="18"/>
              </w:rPr>
            </w:pPr>
            <w:r w:rsidRPr="003F2F37">
              <w:rPr>
                <w:rFonts w:ascii="Arial" w:eastAsia="Calibri" w:hAnsi="Arial" w:cs="Arial"/>
                <w:b/>
                <w:sz w:val="18"/>
                <w:szCs w:val="18"/>
              </w:rPr>
              <w:t>Částka</w:t>
            </w:r>
          </w:p>
        </w:tc>
        <w:tc>
          <w:tcPr>
            <w:tcW w:w="4253" w:type="dxa"/>
            <w:tcBorders>
              <w:top w:val="single" w:sz="12" w:space="0" w:color="auto"/>
              <w:bottom w:val="single" w:sz="12" w:space="0" w:color="auto"/>
              <w:right w:val="single" w:sz="12" w:space="0" w:color="auto"/>
            </w:tcBorders>
            <w:shd w:val="clear" w:color="auto" w:fill="DDD9C3"/>
            <w:vAlign w:val="center"/>
          </w:tcPr>
          <w:p w:rsidR="00BC76AB" w:rsidRPr="003F2F37" w:rsidRDefault="00BC76AB" w:rsidP="003F2F37">
            <w:pPr>
              <w:jc w:val="center"/>
              <w:rPr>
                <w:rFonts w:ascii="Arial" w:eastAsia="Calibri" w:hAnsi="Arial" w:cs="Arial"/>
                <w:b/>
                <w:sz w:val="18"/>
                <w:szCs w:val="18"/>
              </w:rPr>
            </w:pPr>
            <w:r w:rsidRPr="003F2F37">
              <w:rPr>
                <w:rFonts w:ascii="Arial" w:eastAsia="Calibri" w:hAnsi="Arial" w:cs="Arial"/>
                <w:b/>
                <w:sz w:val="18"/>
                <w:szCs w:val="18"/>
              </w:rPr>
              <w:t>Způsob použití příspěvku</w:t>
            </w:r>
          </w:p>
        </w:tc>
      </w:tr>
      <w:tr w:rsidR="00BC76AB" w:rsidRPr="003F2F37" w:rsidTr="003F2F37">
        <w:trPr>
          <w:trHeight w:val="113"/>
        </w:trPr>
        <w:tc>
          <w:tcPr>
            <w:tcW w:w="1242" w:type="dxa"/>
            <w:vMerge w:val="restart"/>
            <w:tcBorders>
              <w:top w:val="single" w:sz="12" w:space="0" w:color="auto"/>
              <w:lef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Čertovka</w:t>
            </w:r>
          </w:p>
        </w:tc>
        <w:tc>
          <w:tcPr>
            <w:tcW w:w="1276" w:type="dxa"/>
            <w:tcBorders>
              <w:top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Blatno</w:t>
            </w:r>
          </w:p>
        </w:tc>
        <w:tc>
          <w:tcPr>
            <w:tcW w:w="1134"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13,42 km</w:t>
            </w:r>
            <w:r w:rsidRPr="003F2F37">
              <w:rPr>
                <w:rFonts w:ascii="Arial" w:eastAsia="Calibri" w:hAnsi="Arial" w:cs="Arial"/>
                <w:sz w:val="18"/>
                <w:szCs w:val="18"/>
                <w:vertAlign w:val="superscript"/>
              </w:rPr>
              <w:t>2</w:t>
            </w:r>
          </w:p>
        </w:tc>
        <w:tc>
          <w:tcPr>
            <w:tcW w:w="1559"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4 000 000,00 Kč</w:t>
            </w:r>
          </w:p>
        </w:tc>
        <w:tc>
          <w:tcPr>
            <w:tcW w:w="4253" w:type="dxa"/>
            <w:tcBorders>
              <w:top w:val="single" w:sz="12" w:space="0" w:color="auto"/>
              <w:right w:val="single" w:sz="12" w:space="0" w:color="auto"/>
            </w:tcBorders>
            <w:shd w:val="clear" w:color="auto" w:fill="auto"/>
          </w:tcPr>
          <w:p w:rsidR="00BC76AB" w:rsidRPr="003F2F37" w:rsidRDefault="007E0ABB" w:rsidP="007E0ABB">
            <w:pPr>
              <w:rPr>
                <w:rFonts w:ascii="Arial" w:eastAsia="Calibri" w:hAnsi="Arial" w:cs="Arial"/>
                <w:sz w:val="18"/>
                <w:szCs w:val="18"/>
              </w:rPr>
            </w:pPr>
            <w:r>
              <w:rPr>
                <w:rFonts w:ascii="Arial" w:eastAsia="Calibri" w:hAnsi="Arial" w:cs="Arial"/>
                <w:sz w:val="18"/>
                <w:szCs w:val="18"/>
              </w:rPr>
              <w:t>provedení první etapy dešťové kanalizace včetně chodníku, opravy místních komunikací zahrnující položení živičného povrchu a opravy chodníků</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Lubenec</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9,50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3 449 906,80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rekonstrukce místních komunikací, snížení poplatku za svoz a likvidaci komunálního odpadu, opravy bytových a nebytových objektů ve vlastnictví obce Lubenec, využití na spoluúčasti k žádostem o dotace na rekonstrukci Malého rybníka a opravy zázemí ve sportovním areálu, výměna oken a rekonstrukce některých částí kulturního domu</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Tis u Blatna</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4,79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2 036 358,00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příspěvek zatím nebyl použit</w:t>
            </w:r>
          </w:p>
        </w:tc>
      </w:tr>
      <w:tr w:rsidR="00BC76AB" w:rsidRPr="003F2F37" w:rsidTr="003F2F37">
        <w:trPr>
          <w:trHeight w:val="113"/>
        </w:trPr>
        <w:tc>
          <w:tcPr>
            <w:tcW w:w="1242" w:type="dxa"/>
            <w:vMerge/>
            <w:tcBorders>
              <w:left w:val="single" w:sz="12" w:space="0" w:color="auto"/>
              <w:bottom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tcBorders>
              <w:bottom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Žihle</w:t>
            </w:r>
          </w:p>
        </w:tc>
        <w:tc>
          <w:tcPr>
            <w:tcW w:w="1134"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1,36 km</w:t>
            </w:r>
            <w:r w:rsidRPr="003F2F37">
              <w:rPr>
                <w:rFonts w:ascii="Arial" w:eastAsia="Calibri" w:hAnsi="Arial" w:cs="Arial"/>
                <w:sz w:val="18"/>
                <w:szCs w:val="18"/>
                <w:vertAlign w:val="superscript"/>
              </w:rPr>
              <w:t>2</w:t>
            </w:r>
          </w:p>
        </w:tc>
        <w:tc>
          <w:tcPr>
            <w:tcW w:w="1559"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1 007 824,20 Kč</w:t>
            </w:r>
          </w:p>
        </w:tc>
        <w:tc>
          <w:tcPr>
            <w:tcW w:w="4253" w:type="dxa"/>
            <w:tcBorders>
              <w:bottom w:val="single" w:sz="12" w:space="0" w:color="auto"/>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vybudování vodovodní a kanalizační přípojky včetně ČOV pro dílny obecního úřadu, opravu kanalizace a vybudování zpevněné plochy u obecního úřadu a opravy místních komunikací</w:t>
            </w:r>
          </w:p>
        </w:tc>
      </w:tr>
      <w:tr w:rsidR="00BC76AB" w:rsidRPr="003F2F37" w:rsidTr="003F2F37">
        <w:trPr>
          <w:trHeight w:val="113"/>
        </w:trPr>
        <w:tc>
          <w:tcPr>
            <w:tcW w:w="1242" w:type="dxa"/>
            <w:vMerge w:val="restart"/>
            <w:tcBorders>
              <w:top w:val="single" w:sz="12" w:space="0" w:color="auto"/>
              <w:lef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Březový potok</w:t>
            </w:r>
          </w:p>
        </w:tc>
        <w:tc>
          <w:tcPr>
            <w:tcW w:w="1276" w:type="dxa"/>
            <w:tcBorders>
              <w:top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Chanovice</w:t>
            </w:r>
          </w:p>
        </w:tc>
        <w:tc>
          <w:tcPr>
            <w:tcW w:w="1134"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6,58 km</w:t>
            </w:r>
            <w:r w:rsidRPr="003F2F37">
              <w:rPr>
                <w:rFonts w:ascii="Arial" w:eastAsia="Calibri" w:hAnsi="Arial" w:cs="Arial"/>
                <w:sz w:val="18"/>
                <w:szCs w:val="18"/>
                <w:vertAlign w:val="superscript"/>
              </w:rPr>
              <w:t>2</w:t>
            </w:r>
          </w:p>
        </w:tc>
        <w:tc>
          <w:tcPr>
            <w:tcW w:w="1559"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2 573 801,70 Kč</w:t>
            </w:r>
          </w:p>
        </w:tc>
        <w:tc>
          <w:tcPr>
            <w:tcW w:w="4253" w:type="dxa"/>
            <w:tcBorders>
              <w:top w:val="single" w:sz="12" w:space="0" w:color="auto"/>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příspěvek zatím nebyl použit, předpokládá se použití na financování projektů pro minimalizaci negativních dopadů způsobených hrozbou HÚ</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Velký Bor</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8,56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3 168 611,40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uložen na zvláštním účtu obce</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Pačejov</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2,92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1 477 249,80 Kč</w:t>
            </w:r>
          </w:p>
        </w:tc>
        <w:tc>
          <w:tcPr>
            <w:tcW w:w="4253" w:type="dxa"/>
            <w:tcBorders>
              <w:right w:val="single" w:sz="12" w:space="0" w:color="auto"/>
            </w:tcBorders>
            <w:shd w:val="clear" w:color="auto" w:fill="auto"/>
          </w:tcPr>
          <w:p w:rsidR="00BC76AB" w:rsidRPr="003F2F37" w:rsidRDefault="008819EF" w:rsidP="00BC76AB">
            <w:pPr>
              <w:rPr>
                <w:rFonts w:ascii="Arial" w:eastAsia="Calibri" w:hAnsi="Arial" w:cs="Arial"/>
                <w:sz w:val="18"/>
                <w:szCs w:val="18"/>
              </w:rPr>
            </w:pPr>
            <w:r w:rsidRPr="003F2F37">
              <w:rPr>
                <w:rFonts w:ascii="Arial" w:eastAsia="Calibri" w:hAnsi="Arial" w:cs="Arial"/>
                <w:sz w:val="18"/>
                <w:szCs w:val="18"/>
              </w:rPr>
              <w:t>uložen na zvláštním účtu obce</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Maňovice</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2,83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1 448 943,60 Kč</w:t>
            </w:r>
          </w:p>
        </w:tc>
        <w:tc>
          <w:tcPr>
            <w:tcW w:w="4253" w:type="dxa"/>
            <w:tcBorders>
              <w:right w:val="single" w:sz="12" w:space="0" w:color="auto"/>
            </w:tcBorders>
            <w:shd w:val="clear" w:color="auto" w:fill="auto"/>
          </w:tcPr>
          <w:p w:rsidR="00BC76AB" w:rsidRPr="003F2F37" w:rsidRDefault="007150AF" w:rsidP="00BC76AB">
            <w:pPr>
              <w:rPr>
                <w:rFonts w:ascii="Arial" w:eastAsia="Calibri" w:hAnsi="Arial" w:cs="Arial"/>
                <w:sz w:val="18"/>
                <w:szCs w:val="18"/>
              </w:rPr>
            </w:pPr>
            <w:r w:rsidRPr="003F2F37">
              <w:rPr>
                <w:rFonts w:ascii="Arial" w:eastAsia="Calibri" w:hAnsi="Arial" w:cs="Arial"/>
                <w:sz w:val="18"/>
                <w:szCs w:val="18"/>
              </w:rPr>
              <w:t>příspěvek zatím nebyl použit</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Olšany</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1,35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1 005 967,20 Kč</w:t>
            </w:r>
          </w:p>
        </w:tc>
        <w:tc>
          <w:tcPr>
            <w:tcW w:w="4253" w:type="dxa"/>
            <w:tcBorders>
              <w:right w:val="single" w:sz="12" w:space="0" w:color="auto"/>
            </w:tcBorders>
            <w:shd w:val="clear" w:color="auto" w:fill="auto"/>
          </w:tcPr>
          <w:p w:rsidR="00BC76AB" w:rsidRPr="003F2F37" w:rsidRDefault="000F5587" w:rsidP="00BC76AB">
            <w:pPr>
              <w:rPr>
                <w:rFonts w:ascii="Arial" w:eastAsia="Calibri" w:hAnsi="Arial" w:cs="Arial"/>
                <w:sz w:val="18"/>
                <w:szCs w:val="18"/>
              </w:rPr>
            </w:pPr>
            <w:r w:rsidRPr="003F2F37">
              <w:rPr>
                <w:rFonts w:ascii="Arial" w:eastAsia="Calibri" w:hAnsi="Arial" w:cs="Arial"/>
                <w:sz w:val="18"/>
                <w:szCs w:val="18"/>
              </w:rPr>
              <w:t>příspěvek zatím nebyl použit</w:t>
            </w:r>
          </w:p>
        </w:tc>
      </w:tr>
      <w:tr w:rsidR="00BC76AB" w:rsidRPr="003F2F37" w:rsidTr="003F2F37">
        <w:trPr>
          <w:trHeight w:val="113"/>
        </w:trPr>
        <w:tc>
          <w:tcPr>
            <w:tcW w:w="1242" w:type="dxa"/>
            <w:vMerge/>
            <w:tcBorders>
              <w:left w:val="single" w:sz="12" w:space="0" w:color="auto"/>
              <w:bottom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tcBorders>
              <w:bottom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Kvášňovice</w:t>
            </w:r>
          </w:p>
        </w:tc>
        <w:tc>
          <w:tcPr>
            <w:tcW w:w="1134"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0,86 km</w:t>
            </w:r>
            <w:r w:rsidRPr="003F2F37">
              <w:rPr>
                <w:rFonts w:ascii="Arial" w:eastAsia="Calibri" w:hAnsi="Arial" w:cs="Arial"/>
                <w:sz w:val="18"/>
                <w:szCs w:val="18"/>
                <w:vertAlign w:val="superscript"/>
              </w:rPr>
              <w:t>2</w:t>
            </w:r>
          </w:p>
        </w:tc>
        <w:tc>
          <w:tcPr>
            <w:tcW w:w="1559"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859 494,90 Kč</w:t>
            </w:r>
          </w:p>
        </w:tc>
        <w:tc>
          <w:tcPr>
            <w:tcW w:w="4253" w:type="dxa"/>
            <w:tcBorders>
              <w:bottom w:val="single" w:sz="12" w:space="0" w:color="auto"/>
              <w:right w:val="single" w:sz="12" w:space="0" w:color="auto"/>
            </w:tcBorders>
            <w:shd w:val="clear" w:color="auto" w:fill="auto"/>
          </w:tcPr>
          <w:p w:rsidR="00BC76AB" w:rsidRPr="003F2F37" w:rsidRDefault="000F5587" w:rsidP="00BC76AB">
            <w:pPr>
              <w:rPr>
                <w:rFonts w:ascii="Arial" w:eastAsia="Calibri" w:hAnsi="Arial" w:cs="Arial"/>
                <w:sz w:val="18"/>
                <w:szCs w:val="18"/>
              </w:rPr>
            </w:pPr>
            <w:r w:rsidRPr="003F2F37">
              <w:rPr>
                <w:rFonts w:ascii="Arial" w:eastAsia="Calibri" w:hAnsi="Arial" w:cs="Arial"/>
                <w:sz w:val="18"/>
                <w:szCs w:val="18"/>
              </w:rPr>
              <w:t>příspěvek zatím nebyl použit</w:t>
            </w:r>
          </w:p>
        </w:tc>
      </w:tr>
      <w:tr w:rsidR="00BC76AB" w:rsidRPr="003F2F37" w:rsidTr="003F2F37">
        <w:trPr>
          <w:trHeight w:val="113"/>
        </w:trPr>
        <w:tc>
          <w:tcPr>
            <w:tcW w:w="1242" w:type="dxa"/>
            <w:vMerge w:val="restart"/>
            <w:tcBorders>
              <w:top w:val="single" w:sz="12" w:space="0" w:color="auto"/>
              <w:lef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Magdaléna</w:t>
            </w:r>
          </w:p>
        </w:tc>
        <w:tc>
          <w:tcPr>
            <w:tcW w:w="1276" w:type="dxa"/>
            <w:tcBorders>
              <w:top w:val="single" w:sz="12" w:space="0" w:color="auto"/>
            </w:tcBorders>
            <w:shd w:val="clear" w:color="auto" w:fill="auto"/>
          </w:tcPr>
          <w:p w:rsidR="00BC76AB" w:rsidRPr="003F2F37" w:rsidRDefault="00BC76AB" w:rsidP="00BC76AB">
            <w:pPr>
              <w:rPr>
                <w:rFonts w:ascii="Arial" w:eastAsia="Calibri" w:hAnsi="Arial" w:cs="Arial"/>
                <w:sz w:val="18"/>
                <w:szCs w:val="18"/>
              </w:rPr>
            </w:pPr>
            <w:r w:rsidRPr="00343CF4">
              <w:rPr>
                <w:rFonts w:ascii="Arial" w:eastAsia="Calibri" w:hAnsi="Arial" w:cs="Arial"/>
                <w:sz w:val="18"/>
                <w:szCs w:val="18"/>
              </w:rPr>
              <w:t>Jistebnice</w:t>
            </w:r>
          </w:p>
        </w:tc>
        <w:tc>
          <w:tcPr>
            <w:tcW w:w="1134"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17,44 km</w:t>
            </w:r>
            <w:r w:rsidRPr="003F2F37">
              <w:rPr>
                <w:rFonts w:ascii="Arial" w:eastAsia="Calibri" w:hAnsi="Arial" w:cs="Arial"/>
                <w:sz w:val="18"/>
                <w:szCs w:val="18"/>
                <w:vertAlign w:val="superscript"/>
              </w:rPr>
              <w:t>2</w:t>
            </w:r>
          </w:p>
        </w:tc>
        <w:tc>
          <w:tcPr>
            <w:tcW w:w="1559"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4 000 000,00 Kč</w:t>
            </w:r>
          </w:p>
        </w:tc>
        <w:tc>
          <w:tcPr>
            <w:tcW w:w="4253" w:type="dxa"/>
            <w:tcBorders>
              <w:top w:val="single" w:sz="12" w:space="0" w:color="auto"/>
              <w:right w:val="single" w:sz="12" w:space="0" w:color="auto"/>
            </w:tcBorders>
            <w:shd w:val="clear" w:color="auto" w:fill="auto"/>
          </w:tcPr>
          <w:p w:rsidR="00BC76AB" w:rsidRPr="003F2F37" w:rsidRDefault="00343CF4" w:rsidP="00343CF4">
            <w:pPr>
              <w:rPr>
                <w:rFonts w:ascii="Arial" w:eastAsia="Calibri" w:hAnsi="Arial" w:cs="Arial"/>
                <w:sz w:val="18"/>
                <w:szCs w:val="18"/>
              </w:rPr>
            </w:pPr>
            <w:r>
              <w:rPr>
                <w:rFonts w:ascii="Arial" w:eastAsia="Calibri" w:hAnsi="Arial" w:cs="Arial"/>
                <w:sz w:val="18"/>
                <w:szCs w:val="18"/>
              </w:rPr>
              <w:t>příprava a realizace infrastruktury v místních částech města</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Nadějkov</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4,79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2 035 794,30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vytvořená rezerva v rozpočtu obce</w:t>
            </w:r>
          </w:p>
        </w:tc>
      </w:tr>
      <w:tr w:rsidR="00BC76AB" w:rsidRPr="003F2F37" w:rsidTr="003F2F37">
        <w:trPr>
          <w:trHeight w:val="113"/>
        </w:trPr>
        <w:tc>
          <w:tcPr>
            <w:tcW w:w="1242" w:type="dxa"/>
            <w:vMerge/>
            <w:tcBorders>
              <w:left w:val="single" w:sz="12" w:space="0" w:color="auto"/>
              <w:bottom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tcBorders>
              <w:bottom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Božetice</w:t>
            </w:r>
          </w:p>
        </w:tc>
        <w:tc>
          <w:tcPr>
            <w:tcW w:w="1134"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1,35 km</w:t>
            </w:r>
            <w:r w:rsidRPr="003F2F37">
              <w:rPr>
                <w:rFonts w:ascii="Arial" w:eastAsia="Calibri" w:hAnsi="Arial" w:cs="Arial"/>
                <w:sz w:val="18"/>
                <w:szCs w:val="18"/>
                <w:vertAlign w:val="superscript"/>
              </w:rPr>
              <w:t>2</w:t>
            </w:r>
          </w:p>
        </w:tc>
        <w:tc>
          <w:tcPr>
            <w:tcW w:w="1559"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1 004 736,00 Kč</w:t>
            </w:r>
          </w:p>
        </w:tc>
        <w:tc>
          <w:tcPr>
            <w:tcW w:w="4253" w:type="dxa"/>
            <w:tcBorders>
              <w:bottom w:val="single" w:sz="12" w:space="0" w:color="auto"/>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uložen na zvláštní účet obce</w:t>
            </w:r>
          </w:p>
        </w:tc>
      </w:tr>
      <w:tr w:rsidR="00BC76AB" w:rsidRPr="003F2F37" w:rsidTr="003F2F37">
        <w:trPr>
          <w:trHeight w:val="113"/>
        </w:trPr>
        <w:tc>
          <w:tcPr>
            <w:tcW w:w="1242" w:type="dxa"/>
            <w:vMerge w:val="restart"/>
            <w:tcBorders>
              <w:top w:val="single" w:sz="12" w:space="0" w:color="auto"/>
              <w:lef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Čihadlo</w:t>
            </w:r>
          </w:p>
        </w:tc>
        <w:tc>
          <w:tcPr>
            <w:tcW w:w="1276" w:type="dxa"/>
            <w:tcBorders>
              <w:top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Lodhéřov</w:t>
            </w:r>
          </w:p>
        </w:tc>
        <w:tc>
          <w:tcPr>
            <w:tcW w:w="1134"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14,88 km</w:t>
            </w:r>
            <w:r w:rsidRPr="003F2F37">
              <w:rPr>
                <w:rFonts w:ascii="Arial" w:eastAsia="Calibri" w:hAnsi="Arial" w:cs="Arial"/>
                <w:sz w:val="18"/>
                <w:szCs w:val="18"/>
                <w:vertAlign w:val="superscript"/>
              </w:rPr>
              <w:t>2</w:t>
            </w:r>
          </w:p>
        </w:tc>
        <w:tc>
          <w:tcPr>
            <w:tcW w:w="1559"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4 000 000,00 Kč</w:t>
            </w:r>
          </w:p>
        </w:tc>
        <w:tc>
          <w:tcPr>
            <w:tcW w:w="4253" w:type="dxa"/>
            <w:tcBorders>
              <w:top w:val="single" w:sz="12" w:space="0" w:color="auto"/>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bude využit na úhradu nákladů spojených s budováním Vodovodního přivaděče pro obec Studnice, na zajištění provozních výdajů pro ZŠ a MŠ Lodhéřov, pokrytí nákladů nadnormativních prostředků na chybějící žáky v ZŠ Lodhéřov, dále na opravu havarijního stavu márnice a hřbitovní zdi v Lodhéřově, opravu stávajících chodníků a opravu Hasičské zbrojnice Lodhéřov</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Deštná</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5,21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2 164 004,70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příspěvek zatím nebyl použit</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Světce</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3,64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1 692 633,00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příspěvek zatím nebyl použit</w:t>
            </w:r>
          </w:p>
        </w:tc>
      </w:tr>
      <w:tr w:rsidR="00BC76AB" w:rsidRPr="003F2F37" w:rsidTr="003F2F37">
        <w:trPr>
          <w:trHeight w:val="113"/>
        </w:trPr>
        <w:tc>
          <w:tcPr>
            <w:tcW w:w="1242" w:type="dxa"/>
            <w:vMerge/>
            <w:tcBorders>
              <w:left w:val="single" w:sz="12" w:space="0" w:color="auto"/>
              <w:bottom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tcBorders>
              <w:bottom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Pluhův Žďár</w:t>
            </w:r>
          </w:p>
        </w:tc>
        <w:tc>
          <w:tcPr>
            <w:tcW w:w="1134"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2,36 km</w:t>
            </w:r>
            <w:r w:rsidRPr="003F2F37">
              <w:rPr>
                <w:rFonts w:ascii="Arial" w:eastAsia="Calibri" w:hAnsi="Arial" w:cs="Arial"/>
                <w:sz w:val="18"/>
                <w:szCs w:val="18"/>
                <w:vertAlign w:val="superscript"/>
              </w:rPr>
              <w:t>2</w:t>
            </w:r>
          </w:p>
        </w:tc>
        <w:tc>
          <w:tcPr>
            <w:tcW w:w="1559"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1 306 952,40 Kč</w:t>
            </w:r>
          </w:p>
        </w:tc>
        <w:tc>
          <w:tcPr>
            <w:tcW w:w="4253" w:type="dxa"/>
            <w:tcBorders>
              <w:bottom w:val="single" w:sz="12" w:space="0" w:color="auto"/>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příspěvek bude přednostně použit na problematiku HÚ, např. právní zastoupení, odborné analýzy, pořádání besed, dále např. na vybavení sběrného dvora a budování inženýrských sítí</w:t>
            </w:r>
          </w:p>
        </w:tc>
      </w:tr>
      <w:tr w:rsidR="00BC76AB" w:rsidRPr="003F2F37" w:rsidTr="003F2F37">
        <w:trPr>
          <w:trHeight w:val="113"/>
        </w:trPr>
        <w:tc>
          <w:tcPr>
            <w:tcW w:w="1242" w:type="dxa"/>
            <w:vMerge w:val="restart"/>
            <w:tcBorders>
              <w:top w:val="single" w:sz="12" w:space="0" w:color="auto"/>
              <w:lef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Hrádek</w:t>
            </w:r>
          </w:p>
        </w:tc>
        <w:tc>
          <w:tcPr>
            <w:tcW w:w="1276" w:type="dxa"/>
            <w:tcBorders>
              <w:top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Rohozná</w:t>
            </w:r>
          </w:p>
        </w:tc>
        <w:tc>
          <w:tcPr>
            <w:tcW w:w="1134"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7,18 km</w:t>
            </w:r>
            <w:r w:rsidRPr="003F2F37">
              <w:rPr>
                <w:rFonts w:ascii="Arial" w:eastAsia="Calibri" w:hAnsi="Arial" w:cs="Arial"/>
                <w:sz w:val="18"/>
                <w:szCs w:val="18"/>
                <w:vertAlign w:val="superscript"/>
              </w:rPr>
              <w:t>2</w:t>
            </w:r>
          </w:p>
        </w:tc>
        <w:tc>
          <w:tcPr>
            <w:tcW w:w="1559"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2 755 437,30 Kč</w:t>
            </w:r>
          </w:p>
        </w:tc>
        <w:tc>
          <w:tcPr>
            <w:tcW w:w="4253" w:type="dxa"/>
            <w:tcBorders>
              <w:top w:val="single" w:sz="12" w:space="0" w:color="auto"/>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příspěvek zatím nebyl použit</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Nový Rychnov</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6,07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2 422 460,40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příspěvek bude použit na financování novostavby mateřské školy v Novém Rychnově</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Milíčov</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2,97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1 490 494,20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příspěvek zatím nebyl použit</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Hojkov</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4,31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1 892 526,90 Kč</w:t>
            </w:r>
          </w:p>
        </w:tc>
        <w:tc>
          <w:tcPr>
            <w:tcW w:w="4253" w:type="dxa"/>
            <w:tcBorders>
              <w:right w:val="single" w:sz="12" w:space="0" w:color="auto"/>
            </w:tcBorders>
            <w:shd w:val="clear" w:color="auto" w:fill="auto"/>
          </w:tcPr>
          <w:p w:rsidR="00BC76AB" w:rsidRPr="003F2F37" w:rsidRDefault="00B0001C" w:rsidP="00BC76AB">
            <w:pPr>
              <w:rPr>
                <w:rFonts w:ascii="Arial" w:eastAsia="Calibri" w:hAnsi="Arial" w:cs="Arial"/>
                <w:sz w:val="18"/>
                <w:szCs w:val="18"/>
              </w:rPr>
            </w:pPr>
            <w:r w:rsidRPr="003F2F37">
              <w:rPr>
                <w:rFonts w:ascii="Arial" w:eastAsia="Calibri" w:hAnsi="Arial" w:cs="Arial"/>
                <w:sz w:val="18"/>
                <w:szCs w:val="18"/>
              </w:rPr>
              <w:t>příspěvek zatím nebyl použit</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Cejle</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2,02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1 206 112,20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příspěvek zatím nebyl použit</w:t>
            </w:r>
          </w:p>
        </w:tc>
      </w:tr>
      <w:tr w:rsidR="00BC76AB" w:rsidRPr="003F2F37" w:rsidTr="003F2F37">
        <w:trPr>
          <w:trHeight w:val="113"/>
        </w:trPr>
        <w:tc>
          <w:tcPr>
            <w:tcW w:w="1242" w:type="dxa"/>
            <w:vMerge/>
            <w:tcBorders>
              <w:left w:val="single" w:sz="12" w:space="0" w:color="auto"/>
              <w:bottom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tcBorders>
              <w:bottom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Dolní Cerekev</w:t>
            </w:r>
          </w:p>
        </w:tc>
        <w:tc>
          <w:tcPr>
            <w:tcW w:w="1134"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1,76 km</w:t>
            </w:r>
            <w:r w:rsidRPr="003F2F37">
              <w:rPr>
                <w:rFonts w:ascii="Arial" w:eastAsia="Calibri" w:hAnsi="Arial" w:cs="Arial"/>
                <w:sz w:val="18"/>
                <w:szCs w:val="18"/>
                <w:vertAlign w:val="superscript"/>
              </w:rPr>
              <w:t>2</w:t>
            </w:r>
          </w:p>
        </w:tc>
        <w:tc>
          <w:tcPr>
            <w:tcW w:w="1559"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1 126 644,00 Kč</w:t>
            </w:r>
          </w:p>
        </w:tc>
        <w:tc>
          <w:tcPr>
            <w:tcW w:w="4253" w:type="dxa"/>
            <w:tcBorders>
              <w:bottom w:val="single" w:sz="12" w:space="0" w:color="auto"/>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realizace výtahu na zdravotní středisko</w:t>
            </w:r>
          </w:p>
        </w:tc>
      </w:tr>
      <w:tr w:rsidR="00BC76AB" w:rsidRPr="003F2F37" w:rsidTr="003F2F37">
        <w:trPr>
          <w:trHeight w:val="113"/>
        </w:trPr>
        <w:tc>
          <w:tcPr>
            <w:tcW w:w="1242" w:type="dxa"/>
            <w:vMerge w:val="restart"/>
            <w:tcBorders>
              <w:top w:val="single" w:sz="12" w:space="0" w:color="auto"/>
              <w:lef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Horka</w:t>
            </w:r>
          </w:p>
        </w:tc>
        <w:tc>
          <w:tcPr>
            <w:tcW w:w="1276" w:type="dxa"/>
            <w:tcBorders>
              <w:top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Hodov</w:t>
            </w:r>
          </w:p>
        </w:tc>
        <w:tc>
          <w:tcPr>
            <w:tcW w:w="1134"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9,60 km</w:t>
            </w:r>
            <w:r w:rsidRPr="003F2F37">
              <w:rPr>
                <w:rFonts w:ascii="Arial" w:eastAsia="Calibri" w:hAnsi="Arial" w:cs="Arial"/>
                <w:sz w:val="18"/>
                <w:szCs w:val="18"/>
                <w:vertAlign w:val="superscript"/>
              </w:rPr>
              <w:t>2</w:t>
            </w:r>
          </w:p>
        </w:tc>
        <w:tc>
          <w:tcPr>
            <w:tcW w:w="1559"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3 480 113,70 Kč</w:t>
            </w:r>
          </w:p>
        </w:tc>
        <w:tc>
          <w:tcPr>
            <w:tcW w:w="4253" w:type="dxa"/>
            <w:tcBorders>
              <w:top w:val="single" w:sz="12" w:space="0" w:color="auto"/>
              <w:right w:val="single" w:sz="12" w:space="0" w:color="auto"/>
            </w:tcBorders>
            <w:shd w:val="clear" w:color="auto" w:fill="auto"/>
          </w:tcPr>
          <w:p w:rsidR="00BC76AB" w:rsidRPr="003F2F37" w:rsidRDefault="005F247E" w:rsidP="005F247E">
            <w:pPr>
              <w:rPr>
                <w:rFonts w:ascii="Arial" w:eastAsia="Calibri" w:hAnsi="Arial" w:cs="Arial"/>
                <w:sz w:val="18"/>
                <w:szCs w:val="18"/>
              </w:rPr>
            </w:pPr>
            <w:r>
              <w:rPr>
                <w:rFonts w:ascii="Arial" w:eastAsia="Calibri" w:hAnsi="Arial" w:cs="Arial"/>
                <w:sz w:val="18"/>
                <w:szCs w:val="18"/>
              </w:rPr>
              <w:t>opravy chodníků a místních komunikací</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Rohy</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5,37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2 211 565,20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rozvoj obce, opravy místních komunikací a budov, pořízení techniky na úpravu zeleně a jako spoluúčast pro dotační projekty</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Oslavička</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3,41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1 624 478,10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výměna a rozšíření veřejného osvětlení v obci, zbylá částka bude použita na přípravnou fázi vybudování kulturního a sportovního zázemí za obecním úřadem, jehož součástí bude dětské hřiště, nízkoprahové lanové centrum a multifunkční hřiště</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Budišov</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2,93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1 478 508,90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zkvalitnění života občanů v městysi a jako spoluúčast pro dotační projekty, zejména pak na doplatek spoluúčasti na akci „Snížení energetické náročnosti ZŠ Budišov“</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Nárameč</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2,25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1 276 407,00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pro rozvoj obce, komunikace v obci a technickou infrastrukturu</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Vlčatín</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1,87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1 159 755,00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výstavba a opravy chodníků v obci, opravy místních komunikací, opravu a nové osvětlení v obci, zakoupení nevyužití zemědělské budovy a přestavba na garáže pro zařízení kompostárny (traktor, štěpkovač, překopávač)</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Osové</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1,03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910 379,40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vybudování dětského hřiště a rekonstrukce osvětlení v obci Osové</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Rudíkov</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0,99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897 293,10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rozvoj obce a bydlení, spoluúčast pro dotační projekty, zejména vybudování nové ČOV</w:t>
            </w:r>
          </w:p>
        </w:tc>
      </w:tr>
      <w:tr w:rsidR="00BC76AB" w:rsidRPr="003F2F37" w:rsidTr="003F2F37">
        <w:trPr>
          <w:trHeight w:val="113"/>
        </w:trPr>
        <w:tc>
          <w:tcPr>
            <w:tcW w:w="1242" w:type="dxa"/>
            <w:vMerge/>
            <w:tcBorders>
              <w:left w:val="single" w:sz="12" w:space="0" w:color="auto"/>
              <w:bottom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tcBorders>
              <w:bottom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Oslavice</w:t>
            </w:r>
          </w:p>
        </w:tc>
        <w:tc>
          <w:tcPr>
            <w:tcW w:w="1134"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0,80 km</w:t>
            </w:r>
            <w:r w:rsidRPr="003F2F37">
              <w:rPr>
                <w:rFonts w:ascii="Arial" w:eastAsia="Calibri" w:hAnsi="Arial" w:cs="Arial"/>
                <w:sz w:val="18"/>
                <w:szCs w:val="18"/>
                <w:vertAlign w:val="superscript"/>
              </w:rPr>
              <w:t>2</w:t>
            </w:r>
          </w:p>
        </w:tc>
        <w:tc>
          <w:tcPr>
            <w:tcW w:w="1559"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839 484,90 Kč</w:t>
            </w:r>
          </w:p>
        </w:tc>
        <w:tc>
          <w:tcPr>
            <w:tcW w:w="4253" w:type="dxa"/>
            <w:tcBorders>
              <w:bottom w:val="single" w:sz="12" w:space="0" w:color="auto"/>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spoluúčast pro dotované projekty, zejména herní prvky na dětské hřiště, dokončení zahrady ZŠ a MŠ Oslavice, úpravu návsi v obci Oslavice a budování nové části kanalizace pro rozvoj míst k bydlení, dále k přípravě projektové dokumentace pro zvýšení kapacity mateřské školy</w:t>
            </w:r>
          </w:p>
        </w:tc>
      </w:tr>
      <w:tr w:rsidR="00BC76AB" w:rsidRPr="003F2F37" w:rsidTr="003F2F37">
        <w:trPr>
          <w:trHeight w:val="113"/>
        </w:trPr>
        <w:tc>
          <w:tcPr>
            <w:tcW w:w="1242" w:type="dxa"/>
            <w:vMerge w:val="restart"/>
            <w:tcBorders>
              <w:top w:val="single" w:sz="12" w:space="0" w:color="auto"/>
              <w:lef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Kraví hora</w:t>
            </w:r>
          </w:p>
        </w:tc>
        <w:tc>
          <w:tcPr>
            <w:tcW w:w="1276" w:type="dxa"/>
            <w:tcBorders>
              <w:top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Střítež</w:t>
            </w:r>
          </w:p>
        </w:tc>
        <w:tc>
          <w:tcPr>
            <w:tcW w:w="1134"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5,78 km</w:t>
            </w:r>
            <w:r w:rsidRPr="003F2F37">
              <w:rPr>
                <w:rFonts w:ascii="Arial" w:eastAsia="Calibri" w:hAnsi="Arial" w:cs="Arial"/>
                <w:sz w:val="18"/>
                <w:szCs w:val="18"/>
                <w:vertAlign w:val="superscript"/>
              </w:rPr>
              <w:t>2</w:t>
            </w:r>
          </w:p>
        </w:tc>
        <w:tc>
          <w:tcPr>
            <w:tcW w:w="1559" w:type="dxa"/>
            <w:tcBorders>
              <w:top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2 332 512,30 Kč</w:t>
            </w:r>
          </w:p>
        </w:tc>
        <w:tc>
          <w:tcPr>
            <w:tcW w:w="4253" w:type="dxa"/>
            <w:tcBorders>
              <w:top w:val="single" w:sz="12" w:space="0" w:color="auto"/>
              <w:right w:val="single" w:sz="12" w:space="0" w:color="auto"/>
            </w:tcBorders>
            <w:shd w:val="clear" w:color="auto" w:fill="auto"/>
          </w:tcPr>
          <w:p w:rsidR="00BC76AB" w:rsidRPr="003F2F37" w:rsidRDefault="00097379" w:rsidP="00097379">
            <w:pPr>
              <w:rPr>
                <w:rFonts w:ascii="Arial" w:eastAsia="Calibri" w:hAnsi="Arial" w:cs="Arial"/>
                <w:sz w:val="18"/>
                <w:szCs w:val="18"/>
              </w:rPr>
            </w:pPr>
            <w:r>
              <w:rPr>
                <w:rFonts w:ascii="Arial" w:eastAsia="Calibri" w:hAnsi="Arial" w:cs="Arial"/>
                <w:sz w:val="18"/>
                <w:szCs w:val="18"/>
              </w:rPr>
              <w:t>opravy stávajících nemovitostí a infrastrukturních staveb obce, výstavba nových infrastrukturních staveb, poskytnutí slev a bonusů pro obyvatele obce Střítež, příspěvky na úhradu sociálních služeb, podpora dobrovolných spolků</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Drahonín</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3,47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1 642 247,40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příspěvek bude použit na výstavbu nové komunikace</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C10470">
              <w:rPr>
                <w:rFonts w:ascii="Arial" w:eastAsia="Calibri" w:hAnsi="Arial" w:cs="Arial"/>
                <w:sz w:val="18"/>
                <w:szCs w:val="18"/>
              </w:rPr>
              <w:t>Moravecké Pavlovice</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3,43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1 628 159,10 Kč</w:t>
            </w:r>
          </w:p>
        </w:tc>
        <w:tc>
          <w:tcPr>
            <w:tcW w:w="4253" w:type="dxa"/>
            <w:tcBorders>
              <w:right w:val="single" w:sz="12" w:space="0" w:color="auto"/>
            </w:tcBorders>
            <w:shd w:val="clear" w:color="auto" w:fill="auto"/>
          </w:tcPr>
          <w:p w:rsidR="00BC76AB" w:rsidRPr="003F2F37" w:rsidRDefault="005B2336" w:rsidP="005B2336">
            <w:pPr>
              <w:rPr>
                <w:rFonts w:ascii="Arial" w:eastAsia="Calibri" w:hAnsi="Arial" w:cs="Arial"/>
                <w:sz w:val="18"/>
                <w:szCs w:val="18"/>
              </w:rPr>
            </w:pPr>
            <w:r w:rsidRPr="009B211D">
              <w:rPr>
                <w:rFonts w:ascii="Arial" w:eastAsia="Calibri" w:hAnsi="Arial" w:cs="Arial"/>
                <w:sz w:val="18"/>
                <w:szCs w:val="18"/>
              </w:rPr>
              <w:t>oprava místní komunikace v obci Moravecké Pavlovice - část Habří</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2E1EF9">
              <w:rPr>
                <w:rFonts w:ascii="Arial" w:eastAsia="Calibri" w:hAnsi="Arial" w:cs="Arial"/>
                <w:sz w:val="18"/>
                <w:szCs w:val="18"/>
              </w:rPr>
              <w:t>Bukov</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1,83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1 149 232,20 Kč</w:t>
            </w:r>
          </w:p>
        </w:tc>
        <w:tc>
          <w:tcPr>
            <w:tcW w:w="4253" w:type="dxa"/>
            <w:tcBorders>
              <w:right w:val="single" w:sz="12" w:space="0" w:color="auto"/>
            </w:tcBorders>
            <w:shd w:val="clear" w:color="auto" w:fill="auto"/>
          </w:tcPr>
          <w:p w:rsidR="00BC76AB" w:rsidRPr="003F2F37" w:rsidRDefault="00BD4CEA" w:rsidP="00BC76AB">
            <w:pPr>
              <w:rPr>
                <w:rFonts w:ascii="Arial" w:eastAsia="Calibri" w:hAnsi="Arial" w:cs="Arial"/>
                <w:sz w:val="18"/>
                <w:szCs w:val="18"/>
              </w:rPr>
            </w:pPr>
            <w:r>
              <w:rPr>
                <w:rFonts w:ascii="Arial" w:eastAsia="Calibri" w:hAnsi="Arial" w:cs="Arial"/>
                <w:sz w:val="18"/>
                <w:szCs w:val="18"/>
              </w:rPr>
              <w:t>o</w:t>
            </w:r>
            <w:r w:rsidR="002E1EF9">
              <w:rPr>
                <w:rFonts w:ascii="Arial" w:eastAsia="Calibri" w:hAnsi="Arial" w:cs="Arial"/>
                <w:sz w:val="18"/>
                <w:szCs w:val="18"/>
              </w:rPr>
              <w:t>prava polních cest, kanalizace, chodníků, silnice a veřejného osvětlení</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Věžná</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2,17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1 250 403,60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nákup komunální techniky, opravy a budování obecních cest, výsadba a úpravy zeleně, zkvalitnění infrastruktury obce, činnost místních spolků apod.</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C10470">
              <w:rPr>
                <w:rFonts w:ascii="Arial" w:eastAsia="Calibri" w:hAnsi="Arial" w:cs="Arial"/>
                <w:sz w:val="18"/>
                <w:szCs w:val="18"/>
              </w:rPr>
              <w:t>Sejřek</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0,33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699 291,60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způsob použití příspěvku nebyl sdělen</w:t>
            </w:r>
          </w:p>
        </w:tc>
      </w:tr>
      <w:tr w:rsidR="00BC76AB" w:rsidRPr="003F2F37" w:rsidTr="003F2F37">
        <w:trPr>
          <w:trHeight w:val="113"/>
        </w:trPr>
        <w:tc>
          <w:tcPr>
            <w:tcW w:w="1242" w:type="dxa"/>
            <w:vMerge/>
            <w:tcBorders>
              <w:left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Milasín</w:t>
            </w:r>
          </w:p>
        </w:tc>
        <w:tc>
          <w:tcPr>
            <w:tcW w:w="1134"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0,07 km</w:t>
            </w:r>
            <w:r w:rsidRPr="003F2F37">
              <w:rPr>
                <w:rFonts w:ascii="Arial" w:eastAsia="Calibri" w:hAnsi="Arial" w:cs="Arial"/>
                <w:sz w:val="18"/>
                <w:szCs w:val="18"/>
                <w:vertAlign w:val="superscript"/>
              </w:rPr>
              <w:t>2</w:t>
            </w:r>
          </w:p>
        </w:tc>
        <w:tc>
          <w:tcPr>
            <w:tcW w:w="1559" w:type="dxa"/>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620 754,30 Kč</w:t>
            </w:r>
          </w:p>
        </w:tc>
        <w:tc>
          <w:tcPr>
            <w:tcW w:w="4253" w:type="dxa"/>
            <w:tcBorders>
              <w:right w:val="single" w:sz="12" w:space="0" w:color="auto"/>
            </w:tcBorders>
            <w:shd w:val="clear" w:color="auto" w:fill="auto"/>
          </w:tcPr>
          <w:p w:rsidR="00BC76AB" w:rsidRPr="003F2F37" w:rsidRDefault="00BC76AB" w:rsidP="00BC76AB">
            <w:pPr>
              <w:rPr>
                <w:rFonts w:ascii="Arial" w:eastAsia="Calibri" w:hAnsi="Arial" w:cs="Arial"/>
                <w:sz w:val="18"/>
                <w:szCs w:val="18"/>
              </w:rPr>
            </w:pPr>
            <w:r w:rsidRPr="003F2F37">
              <w:rPr>
                <w:rFonts w:ascii="Arial" w:eastAsia="Calibri" w:hAnsi="Arial" w:cs="Arial"/>
                <w:sz w:val="18"/>
                <w:szCs w:val="18"/>
              </w:rPr>
              <w:t>zlepšení stavu místní komunikace vedoucí z Milasína do sousední obce</w:t>
            </w:r>
          </w:p>
        </w:tc>
      </w:tr>
      <w:tr w:rsidR="00BC76AB" w:rsidRPr="003F2F37" w:rsidTr="003F2F37">
        <w:trPr>
          <w:trHeight w:val="113"/>
        </w:trPr>
        <w:tc>
          <w:tcPr>
            <w:tcW w:w="1242" w:type="dxa"/>
            <w:vMerge/>
            <w:tcBorders>
              <w:left w:val="single" w:sz="12" w:space="0" w:color="auto"/>
              <w:bottom w:val="single" w:sz="12" w:space="0" w:color="auto"/>
            </w:tcBorders>
            <w:shd w:val="clear" w:color="auto" w:fill="auto"/>
          </w:tcPr>
          <w:p w:rsidR="00BC76AB" w:rsidRPr="003F2F37" w:rsidRDefault="00BC76AB" w:rsidP="00BC76AB">
            <w:pPr>
              <w:rPr>
                <w:rFonts w:ascii="Arial" w:eastAsia="Calibri" w:hAnsi="Arial" w:cs="Arial"/>
                <w:sz w:val="18"/>
                <w:szCs w:val="18"/>
              </w:rPr>
            </w:pPr>
          </w:p>
        </w:tc>
        <w:tc>
          <w:tcPr>
            <w:tcW w:w="1276" w:type="dxa"/>
            <w:tcBorders>
              <w:bottom w:val="single" w:sz="12" w:space="0" w:color="auto"/>
            </w:tcBorders>
            <w:shd w:val="clear" w:color="auto" w:fill="auto"/>
          </w:tcPr>
          <w:p w:rsidR="00BC76AB" w:rsidRPr="003F2F37" w:rsidRDefault="00BC76AB" w:rsidP="00BC76AB">
            <w:pPr>
              <w:rPr>
                <w:rFonts w:ascii="Arial" w:eastAsia="Calibri" w:hAnsi="Arial" w:cs="Arial"/>
                <w:sz w:val="18"/>
                <w:szCs w:val="18"/>
              </w:rPr>
            </w:pPr>
            <w:r w:rsidRPr="000F086A">
              <w:rPr>
                <w:rFonts w:ascii="Arial" w:eastAsia="Calibri" w:hAnsi="Arial" w:cs="Arial"/>
                <w:sz w:val="18"/>
                <w:szCs w:val="18"/>
              </w:rPr>
              <w:t>Olší</w:t>
            </w:r>
          </w:p>
        </w:tc>
        <w:tc>
          <w:tcPr>
            <w:tcW w:w="1134"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0,03 km</w:t>
            </w:r>
            <w:r w:rsidRPr="003F2F37">
              <w:rPr>
                <w:rFonts w:ascii="Arial" w:eastAsia="Calibri" w:hAnsi="Arial" w:cs="Arial"/>
                <w:sz w:val="18"/>
                <w:szCs w:val="18"/>
                <w:vertAlign w:val="superscript"/>
              </w:rPr>
              <w:t>2</w:t>
            </w:r>
          </w:p>
        </w:tc>
        <w:tc>
          <w:tcPr>
            <w:tcW w:w="1559" w:type="dxa"/>
            <w:tcBorders>
              <w:bottom w:val="single" w:sz="12" w:space="0" w:color="auto"/>
            </w:tcBorders>
            <w:shd w:val="clear" w:color="auto" w:fill="auto"/>
          </w:tcPr>
          <w:p w:rsidR="00BC76AB" w:rsidRPr="003F2F37" w:rsidRDefault="00BC76AB" w:rsidP="003F2F37">
            <w:pPr>
              <w:jc w:val="right"/>
              <w:rPr>
                <w:rFonts w:ascii="Arial" w:eastAsia="Calibri" w:hAnsi="Arial" w:cs="Arial"/>
                <w:sz w:val="18"/>
                <w:szCs w:val="18"/>
              </w:rPr>
            </w:pPr>
            <w:r w:rsidRPr="003F2F37">
              <w:rPr>
                <w:rFonts w:ascii="Arial" w:eastAsia="Calibri" w:hAnsi="Arial" w:cs="Arial"/>
                <w:sz w:val="18"/>
                <w:szCs w:val="18"/>
              </w:rPr>
              <w:t>610 166,70 Kč</w:t>
            </w:r>
          </w:p>
        </w:tc>
        <w:tc>
          <w:tcPr>
            <w:tcW w:w="4253" w:type="dxa"/>
            <w:tcBorders>
              <w:bottom w:val="single" w:sz="12" w:space="0" w:color="auto"/>
              <w:right w:val="single" w:sz="12" w:space="0" w:color="auto"/>
            </w:tcBorders>
            <w:shd w:val="clear" w:color="auto" w:fill="auto"/>
          </w:tcPr>
          <w:p w:rsidR="00BC76AB" w:rsidRPr="003F2F37" w:rsidRDefault="000F086A" w:rsidP="000F086A">
            <w:pPr>
              <w:rPr>
                <w:rFonts w:ascii="Arial" w:eastAsia="Calibri" w:hAnsi="Arial" w:cs="Arial"/>
                <w:sz w:val="18"/>
                <w:szCs w:val="18"/>
              </w:rPr>
            </w:pPr>
            <w:r>
              <w:rPr>
                <w:rFonts w:ascii="Arial" w:eastAsia="Calibri" w:hAnsi="Arial" w:cs="Arial"/>
                <w:sz w:val="18"/>
                <w:szCs w:val="18"/>
              </w:rPr>
              <w:t>financování provozu základní a mateřské školy a na podporu školních a kulturních aktivit</w:t>
            </w:r>
          </w:p>
        </w:tc>
      </w:tr>
    </w:tbl>
    <w:p w:rsidR="00BC76AB" w:rsidRPr="000969F3" w:rsidRDefault="00BC76AB" w:rsidP="00DA0B00">
      <w:pPr>
        <w:pStyle w:val="Normlnsmezerou0"/>
        <w:numPr>
          <w:ilvl w:val="12"/>
          <w:numId w:val="0"/>
        </w:numPr>
        <w:spacing w:before="0" w:after="0"/>
        <w:ind w:left="709"/>
        <w:jc w:val="left"/>
        <w:rPr>
          <w:sz w:val="20"/>
          <w:szCs w:val="20"/>
        </w:rPr>
      </w:pPr>
    </w:p>
    <w:sectPr w:rsidR="00BC76AB" w:rsidRPr="000969F3" w:rsidSect="005D3925">
      <w:footerReference w:type="default" r:id="rId11"/>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117" w:rsidRDefault="000D4117">
      <w:r>
        <w:separator/>
      </w:r>
    </w:p>
  </w:endnote>
  <w:endnote w:type="continuationSeparator" w:id="0">
    <w:p w:rsidR="000D4117" w:rsidRDefault="000D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AE0" w:rsidRPr="00A46331" w:rsidRDefault="00441AE0" w:rsidP="00CA3F6D">
    <w:pPr>
      <w:pStyle w:val="Zpat"/>
      <w:jc w:val="center"/>
      <w:rPr>
        <w:rFonts w:ascii="Arial" w:hAnsi="Arial" w:cs="Arial"/>
        <w:szCs w:val="16"/>
      </w:rPr>
    </w:pPr>
    <w:r w:rsidRPr="00A46331">
      <w:rPr>
        <w:rStyle w:val="slostrnky"/>
        <w:rFonts w:ascii="Arial" w:hAnsi="Arial" w:cs="Arial"/>
      </w:rPr>
      <w:t>-</w:t>
    </w:r>
    <w:r w:rsidRPr="00A46331">
      <w:rPr>
        <w:rStyle w:val="slostrnky"/>
        <w:rFonts w:ascii="Arial" w:hAnsi="Arial" w:cs="Arial"/>
      </w:rPr>
      <w:fldChar w:fldCharType="begin"/>
    </w:r>
    <w:r w:rsidRPr="00A46331">
      <w:rPr>
        <w:rStyle w:val="slostrnky"/>
        <w:rFonts w:ascii="Arial" w:hAnsi="Arial" w:cs="Arial"/>
      </w:rPr>
      <w:instrText xml:space="preserve"> PAGE </w:instrText>
    </w:r>
    <w:r w:rsidRPr="00A46331">
      <w:rPr>
        <w:rStyle w:val="slostrnky"/>
        <w:rFonts w:ascii="Arial" w:hAnsi="Arial" w:cs="Arial"/>
      </w:rPr>
      <w:fldChar w:fldCharType="separate"/>
    </w:r>
    <w:r w:rsidR="0043089D">
      <w:rPr>
        <w:rStyle w:val="slostrnky"/>
        <w:rFonts w:ascii="Arial" w:hAnsi="Arial" w:cs="Arial"/>
        <w:noProof/>
      </w:rPr>
      <w:t>2</w:t>
    </w:r>
    <w:r w:rsidRPr="00A46331">
      <w:rPr>
        <w:rStyle w:val="slostrnky"/>
        <w:rFonts w:ascii="Arial" w:hAnsi="Arial" w:cs="Arial"/>
      </w:rPr>
      <w:fldChar w:fldCharType="end"/>
    </w:r>
    <w:r w:rsidRPr="00A46331">
      <w:rPr>
        <w:rStyle w:val="slostrnky"/>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117" w:rsidRDefault="000D4117">
      <w:r>
        <w:separator/>
      </w:r>
    </w:p>
  </w:footnote>
  <w:footnote w:type="continuationSeparator" w:id="0">
    <w:p w:rsidR="000D4117" w:rsidRDefault="000D4117">
      <w:r>
        <w:continuationSeparator/>
      </w:r>
    </w:p>
  </w:footnote>
  <w:footnote w:id="1">
    <w:p w:rsidR="00441AE0" w:rsidRPr="002A2D1F" w:rsidRDefault="00441AE0" w:rsidP="00DA0B00">
      <w:pPr>
        <w:pStyle w:val="Textpoznpodarou"/>
        <w:rPr>
          <w:rFonts w:ascii="Arial" w:hAnsi="Arial" w:cs="Arial"/>
          <w:sz w:val="18"/>
          <w:szCs w:val="18"/>
          <w:lang w:val="cs-CZ"/>
        </w:rPr>
      </w:pPr>
      <w:r w:rsidRPr="002A2D1F">
        <w:rPr>
          <w:rStyle w:val="Znakapoznpodarou"/>
          <w:rFonts w:ascii="Arial" w:hAnsi="Arial" w:cs="Arial"/>
          <w:sz w:val="18"/>
          <w:szCs w:val="18"/>
        </w:rPr>
        <w:footnoteRef/>
      </w:r>
      <w:r w:rsidRPr="002A2D1F">
        <w:rPr>
          <w:rFonts w:ascii="Arial" w:hAnsi="Arial" w:cs="Arial"/>
          <w:sz w:val="18"/>
          <w:szCs w:val="18"/>
        </w:rPr>
        <w:t xml:space="preserve"> </w:t>
      </w:r>
      <w:r w:rsidRPr="002A2D1F">
        <w:rPr>
          <w:rFonts w:ascii="Arial" w:hAnsi="Arial" w:cs="Arial"/>
          <w:sz w:val="18"/>
          <w:szCs w:val="18"/>
          <w:lang w:val="cs-CZ"/>
        </w:rPr>
        <w:t>§ 25 zákona č. 18/1997 Sb.: Stát ručí za podmínek stanovených tímto zákonem za bezpečné ukládání všech radioaktivních odpadů, včetně monitorování a kontroly úložišť po jejich uzavření.</w:t>
      </w:r>
    </w:p>
  </w:footnote>
  <w:footnote w:id="2">
    <w:p w:rsidR="00441AE0" w:rsidRPr="002A2D1F" w:rsidRDefault="00441AE0">
      <w:pPr>
        <w:pStyle w:val="Textpoznpodarou"/>
        <w:rPr>
          <w:rFonts w:ascii="Arial" w:hAnsi="Arial" w:cs="Arial"/>
          <w:sz w:val="18"/>
          <w:szCs w:val="18"/>
          <w:lang w:val="cs-CZ"/>
        </w:rPr>
      </w:pPr>
      <w:r w:rsidRPr="002A2D1F">
        <w:rPr>
          <w:rStyle w:val="Znakapoznpodarou"/>
          <w:rFonts w:ascii="Arial" w:hAnsi="Arial" w:cs="Arial"/>
          <w:sz w:val="18"/>
          <w:szCs w:val="18"/>
        </w:rPr>
        <w:footnoteRef/>
      </w:r>
      <w:r w:rsidRPr="00FB3F5E">
        <w:rPr>
          <w:rFonts w:ascii="Arial" w:hAnsi="Arial" w:cs="Arial"/>
          <w:sz w:val="18"/>
          <w:szCs w:val="18"/>
          <w:lang w:val="cs-CZ"/>
        </w:rPr>
        <w:t xml:space="preserve"> </w:t>
      </w:r>
      <w:r w:rsidRPr="002A2D1F">
        <w:rPr>
          <w:rFonts w:ascii="Arial" w:hAnsi="Arial" w:cs="Arial"/>
          <w:sz w:val="18"/>
          <w:szCs w:val="18"/>
          <w:lang w:val="cs-CZ"/>
        </w:rPr>
        <w:t>Rozhodnutí o dodavatelském zajištění strážní služby bude provedeno na základě hodnocení efektivnosti a hospodárnosti této změny.</w:t>
      </w:r>
    </w:p>
  </w:footnote>
  <w:footnote w:id="3">
    <w:p w:rsidR="00441AE0" w:rsidRPr="002A2D1F" w:rsidRDefault="00441AE0">
      <w:pPr>
        <w:pStyle w:val="Textpoznpodarou"/>
        <w:rPr>
          <w:rFonts w:ascii="Arial" w:hAnsi="Arial" w:cs="Arial"/>
          <w:sz w:val="18"/>
          <w:szCs w:val="18"/>
          <w:lang w:val="cs-CZ"/>
        </w:rPr>
      </w:pPr>
      <w:r w:rsidRPr="002A2D1F">
        <w:rPr>
          <w:rStyle w:val="Znakapoznpodarou"/>
          <w:rFonts w:ascii="Arial" w:hAnsi="Arial" w:cs="Arial"/>
          <w:sz w:val="18"/>
          <w:szCs w:val="18"/>
        </w:rPr>
        <w:footnoteRef/>
      </w:r>
      <w:r w:rsidRPr="00FB3F5E">
        <w:rPr>
          <w:rFonts w:ascii="Arial" w:hAnsi="Arial" w:cs="Arial"/>
          <w:sz w:val="18"/>
          <w:szCs w:val="18"/>
          <w:lang w:val="cs-CZ"/>
        </w:rPr>
        <w:t xml:space="preserve"> </w:t>
      </w:r>
      <w:r w:rsidRPr="002A2D1F">
        <w:rPr>
          <w:rFonts w:ascii="Arial" w:hAnsi="Arial" w:cs="Arial"/>
          <w:sz w:val="18"/>
          <w:szCs w:val="18"/>
          <w:lang w:val="cs-CZ"/>
        </w:rPr>
        <w:t>Podle nového atomového zákona bude Správa financována prostřednictvím kapitoly 322 MPO.</w:t>
      </w:r>
    </w:p>
  </w:footnote>
  <w:footnote w:id="4">
    <w:p w:rsidR="00441AE0" w:rsidRPr="003E6254" w:rsidRDefault="00441AE0">
      <w:pPr>
        <w:pStyle w:val="Textpoznpodarou"/>
        <w:rPr>
          <w:rFonts w:ascii="Arial" w:hAnsi="Arial" w:cs="Arial"/>
          <w:sz w:val="18"/>
          <w:szCs w:val="18"/>
          <w:lang w:val="cs-CZ"/>
        </w:rPr>
      </w:pPr>
      <w:r w:rsidRPr="003E6254">
        <w:rPr>
          <w:rStyle w:val="Znakapoznpodarou"/>
          <w:rFonts w:ascii="Arial" w:hAnsi="Arial" w:cs="Arial"/>
          <w:sz w:val="18"/>
          <w:szCs w:val="18"/>
        </w:rPr>
        <w:footnoteRef/>
      </w:r>
      <w:r w:rsidRPr="00FB3F5E">
        <w:rPr>
          <w:rFonts w:ascii="Arial" w:hAnsi="Arial" w:cs="Arial"/>
          <w:sz w:val="18"/>
          <w:szCs w:val="18"/>
          <w:lang w:val="cs-CZ"/>
        </w:rPr>
        <w:t xml:space="preserve"> </w:t>
      </w:r>
      <w:r w:rsidRPr="003E6254">
        <w:rPr>
          <w:rFonts w:ascii="Arial" w:hAnsi="Arial" w:cs="Arial"/>
          <w:sz w:val="18"/>
          <w:szCs w:val="18"/>
          <w:lang w:val="cs-CZ"/>
        </w:rPr>
        <w:t xml:space="preserve">Podle </w:t>
      </w:r>
      <w:r w:rsidR="00FB3F5E">
        <w:rPr>
          <w:rFonts w:ascii="Arial" w:hAnsi="Arial" w:cs="Arial"/>
          <w:sz w:val="18"/>
          <w:szCs w:val="18"/>
          <w:lang w:val="cs-CZ"/>
        </w:rPr>
        <w:t xml:space="preserve">zákona č. 263/2016 Sb., atomový zákon </w:t>
      </w:r>
      <w:r w:rsidRPr="003E6254">
        <w:rPr>
          <w:rFonts w:ascii="Arial" w:hAnsi="Arial" w:cs="Arial"/>
          <w:sz w:val="18"/>
          <w:szCs w:val="18"/>
          <w:lang w:val="cs-CZ"/>
        </w:rPr>
        <w:t>doj</w:t>
      </w:r>
      <w:r w:rsidR="00FB3F5E">
        <w:rPr>
          <w:rFonts w:ascii="Arial" w:hAnsi="Arial" w:cs="Arial"/>
          <w:sz w:val="18"/>
          <w:szCs w:val="18"/>
          <w:lang w:val="cs-CZ"/>
        </w:rPr>
        <w:t>de od roku 2017</w:t>
      </w:r>
      <w:r w:rsidRPr="003E6254">
        <w:rPr>
          <w:rFonts w:ascii="Arial" w:hAnsi="Arial" w:cs="Arial"/>
          <w:sz w:val="18"/>
          <w:szCs w:val="18"/>
          <w:lang w:val="cs-CZ"/>
        </w:rPr>
        <w:t xml:space="preserve"> ke zvýšení této sazby na 55</w:t>
      </w:r>
      <w:r>
        <w:rPr>
          <w:rFonts w:ascii="Arial" w:hAnsi="Arial" w:cs="Arial"/>
          <w:sz w:val="18"/>
          <w:szCs w:val="18"/>
          <w:lang w:val="cs-CZ"/>
        </w:rPr>
        <w:t> </w:t>
      </w:r>
      <w:r w:rsidRPr="003E6254">
        <w:rPr>
          <w:rFonts w:ascii="Arial" w:hAnsi="Arial" w:cs="Arial"/>
          <w:sz w:val="18"/>
          <w:szCs w:val="18"/>
          <w:lang w:val="cs-CZ"/>
        </w:rPr>
        <w:t>Kč/MWh.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B498AAEA"/>
    <w:lvl w:ilvl="0">
      <w:start w:val="1"/>
      <w:numFmt w:val="bullet"/>
      <w:pStyle w:val="Seznamsodrkami"/>
      <w:lvlText w:val=""/>
      <w:lvlJc w:val="left"/>
      <w:pPr>
        <w:tabs>
          <w:tab w:val="num" w:pos="1209"/>
        </w:tabs>
        <w:ind w:left="1209" w:hanging="360"/>
      </w:pPr>
      <w:rPr>
        <w:rFonts w:ascii="Symbol" w:hAnsi="Symbol" w:cs="Symbol" w:hint="default"/>
      </w:rPr>
    </w:lvl>
  </w:abstractNum>
  <w:abstractNum w:abstractNumId="1" w15:restartNumberingAfterBreak="0">
    <w:nsid w:val="FFFFFF82"/>
    <w:multiLevelType w:val="singleLevel"/>
    <w:tmpl w:val="E7125772"/>
    <w:lvl w:ilvl="0">
      <w:start w:val="1"/>
      <w:numFmt w:val="bullet"/>
      <w:pStyle w:val="Styl1"/>
      <w:lvlText w:val=""/>
      <w:lvlJc w:val="left"/>
      <w:pPr>
        <w:tabs>
          <w:tab w:val="num" w:pos="926"/>
        </w:tabs>
        <w:ind w:left="926" w:hanging="360"/>
      </w:pPr>
      <w:rPr>
        <w:rFonts w:ascii="Symbol" w:hAnsi="Symbol" w:cs="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AE4403"/>
    <w:multiLevelType w:val="hybridMultilevel"/>
    <w:tmpl w:val="AD6A3132"/>
    <w:lvl w:ilvl="0" w:tplc="354611FE">
      <w:numFmt w:val="bullet"/>
      <w:lvlText w:val="•"/>
      <w:lvlJc w:val="left"/>
      <w:pPr>
        <w:ind w:left="1068" w:hanging="708"/>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E634D3"/>
    <w:multiLevelType w:val="singleLevel"/>
    <w:tmpl w:val="04050011"/>
    <w:lvl w:ilvl="0">
      <w:start w:val="1"/>
      <w:numFmt w:val="decimal"/>
      <w:lvlText w:val="%1)"/>
      <w:lvlJc w:val="left"/>
      <w:pPr>
        <w:tabs>
          <w:tab w:val="num" w:pos="360"/>
        </w:tabs>
        <w:ind w:left="360" w:hanging="360"/>
      </w:pPr>
    </w:lvl>
  </w:abstractNum>
  <w:abstractNum w:abstractNumId="5" w15:restartNumberingAfterBreak="0">
    <w:nsid w:val="11615E1C"/>
    <w:multiLevelType w:val="singleLevel"/>
    <w:tmpl w:val="04050017"/>
    <w:lvl w:ilvl="0">
      <w:start w:val="1"/>
      <w:numFmt w:val="lowerLetter"/>
      <w:lvlText w:val="%1)"/>
      <w:lvlJc w:val="left"/>
      <w:pPr>
        <w:tabs>
          <w:tab w:val="num" w:pos="360"/>
        </w:tabs>
        <w:ind w:left="360" w:hanging="360"/>
      </w:pPr>
    </w:lvl>
  </w:abstractNum>
  <w:abstractNum w:abstractNumId="6" w15:restartNumberingAfterBreak="0">
    <w:nsid w:val="24300553"/>
    <w:multiLevelType w:val="singleLevel"/>
    <w:tmpl w:val="D32A6F74"/>
    <w:lvl w:ilvl="0">
      <w:start w:val="1"/>
      <w:numFmt w:val="bullet"/>
      <w:pStyle w:val="Odrka1"/>
      <w:lvlText w:val=""/>
      <w:lvlJc w:val="left"/>
      <w:pPr>
        <w:tabs>
          <w:tab w:val="num" w:pos="360"/>
        </w:tabs>
        <w:ind w:left="360" w:hanging="360"/>
      </w:pPr>
      <w:rPr>
        <w:rFonts w:ascii="Symbol" w:hAnsi="Symbol" w:cs="Symbol" w:hint="default"/>
        <w:color w:val="auto"/>
      </w:rPr>
    </w:lvl>
  </w:abstractNum>
  <w:abstractNum w:abstractNumId="7" w15:restartNumberingAfterBreak="0">
    <w:nsid w:val="28921CD1"/>
    <w:multiLevelType w:val="hybridMultilevel"/>
    <w:tmpl w:val="7A4413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FB5DEB"/>
    <w:multiLevelType w:val="hybridMultilevel"/>
    <w:tmpl w:val="760E5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4271EA"/>
    <w:multiLevelType w:val="hybridMultilevel"/>
    <w:tmpl w:val="BB66A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0732AA"/>
    <w:multiLevelType w:val="hybridMultilevel"/>
    <w:tmpl w:val="BAE45620"/>
    <w:lvl w:ilvl="0" w:tplc="62E67F22">
      <w:numFmt w:val="bullet"/>
      <w:lvlText w:val="•"/>
      <w:lvlJc w:val="left"/>
      <w:pPr>
        <w:ind w:left="1068" w:hanging="708"/>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C016ED"/>
    <w:multiLevelType w:val="hybridMultilevel"/>
    <w:tmpl w:val="7D246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8005D9B"/>
    <w:multiLevelType w:val="multilevel"/>
    <w:tmpl w:val="9E1E6F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4BF946DD"/>
    <w:multiLevelType w:val="hybridMultilevel"/>
    <w:tmpl w:val="A860E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6F3C10"/>
    <w:multiLevelType w:val="hybridMultilevel"/>
    <w:tmpl w:val="9FDC2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3040BD"/>
    <w:multiLevelType w:val="hybridMultilevel"/>
    <w:tmpl w:val="D6A4DDA6"/>
    <w:lvl w:ilvl="0" w:tplc="51D6FD38">
      <w:numFmt w:val="bullet"/>
      <w:lvlText w:val="•"/>
      <w:lvlJc w:val="left"/>
      <w:pPr>
        <w:ind w:left="1068" w:hanging="708"/>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8E6AF3"/>
    <w:multiLevelType w:val="hybridMultilevel"/>
    <w:tmpl w:val="694AC99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64BC517F"/>
    <w:multiLevelType w:val="hybridMultilevel"/>
    <w:tmpl w:val="0C823214"/>
    <w:lvl w:ilvl="0" w:tplc="4DA2D10A">
      <w:numFmt w:val="bullet"/>
      <w:lvlText w:val="•"/>
      <w:lvlJc w:val="left"/>
      <w:pPr>
        <w:ind w:left="1417" w:hanging="708"/>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D285791"/>
    <w:multiLevelType w:val="hybridMultilevel"/>
    <w:tmpl w:val="5DB6A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D37FA0"/>
    <w:multiLevelType w:val="hybridMultilevel"/>
    <w:tmpl w:val="A440CF02"/>
    <w:lvl w:ilvl="0" w:tplc="DB70DAE8">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794A60D9"/>
    <w:multiLevelType w:val="multilevel"/>
    <w:tmpl w:val="2B0A9C98"/>
    <w:lvl w:ilvl="0">
      <w:start w:val="1"/>
      <w:numFmt w:val="decimal"/>
      <w:pStyle w:val="Nadpis1"/>
      <w:lvlText w:val="%1."/>
      <w:lvlJc w:val="left"/>
      <w:pPr>
        <w:tabs>
          <w:tab w:val="num" w:pos="360"/>
        </w:tabs>
      </w:pPr>
    </w:lvl>
    <w:lvl w:ilvl="1">
      <w:start w:val="1"/>
      <w:numFmt w:val="decimal"/>
      <w:pStyle w:val="Nadpis2"/>
      <w:lvlText w:val="%1.%2."/>
      <w:lvlJc w:val="left"/>
      <w:pPr>
        <w:tabs>
          <w:tab w:val="num" w:pos="0"/>
        </w:tabs>
      </w:pPr>
    </w:lvl>
    <w:lvl w:ilvl="2">
      <w:start w:val="1"/>
      <w:numFmt w:val="decimal"/>
      <w:pStyle w:val="Nadpis3"/>
      <w:lvlText w:val="%1.%2.%3."/>
      <w:lvlJc w:val="left"/>
      <w:pPr>
        <w:tabs>
          <w:tab w:val="num" w:pos="0"/>
        </w:tabs>
      </w:pPr>
    </w:lvl>
    <w:lvl w:ilvl="3">
      <w:start w:val="1"/>
      <w:numFmt w:val="decimal"/>
      <w:pStyle w:val="Nadpis4"/>
      <w:lvlText w:val="%1.%2.%3.%4."/>
      <w:lvlJc w:val="left"/>
      <w:pPr>
        <w:tabs>
          <w:tab w:val="num" w:pos="0"/>
        </w:tabs>
      </w:pPr>
    </w:lvl>
    <w:lvl w:ilvl="4">
      <w:start w:val="1"/>
      <w:numFmt w:val="decimal"/>
      <w:pStyle w:val="Nadpis5"/>
      <w:lvlText w:val="%1.%2.%3.%4.%5."/>
      <w:lvlJc w:val="left"/>
      <w:pPr>
        <w:tabs>
          <w:tab w:val="num" w:pos="0"/>
        </w:tabs>
      </w:pPr>
    </w:lvl>
    <w:lvl w:ilvl="5">
      <w:start w:val="1"/>
      <w:numFmt w:val="decimal"/>
      <w:pStyle w:val="Nadpis6"/>
      <w:lvlText w:val="%1.%2.%3.%4.%5..%6"/>
      <w:lvlJc w:val="left"/>
      <w:pPr>
        <w:tabs>
          <w:tab w:val="num" w:pos="0"/>
        </w:tabs>
      </w:pPr>
    </w:lvl>
    <w:lvl w:ilvl="6">
      <w:start w:val="1"/>
      <w:numFmt w:val="decimal"/>
      <w:pStyle w:val="Nadpis7"/>
      <w:lvlText w:val="%1.%2.%3.%4.%5..%6.%7"/>
      <w:lvlJc w:val="left"/>
      <w:pPr>
        <w:tabs>
          <w:tab w:val="num" w:pos="0"/>
        </w:tabs>
      </w:pPr>
    </w:lvl>
    <w:lvl w:ilvl="7">
      <w:start w:val="1"/>
      <w:numFmt w:val="decimal"/>
      <w:pStyle w:val="Nadpis8"/>
      <w:lvlText w:val="%1.%2.%3.%4.%5..%6.%7.%8."/>
      <w:lvlJc w:val="left"/>
      <w:pPr>
        <w:tabs>
          <w:tab w:val="num" w:pos="0"/>
        </w:tabs>
      </w:pPr>
    </w:lvl>
    <w:lvl w:ilvl="8">
      <w:start w:val="1"/>
      <w:numFmt w:val="decimal"/>
      <w:pStyle w:val="Nadpis9"/>
      <w:lvlText w:val="%1.%2.%3.%4.%5..%6.%7.%8..%9"/>
      <w:lvlJc w:val="left"/>
      <w:pPr>
        <w:tabs>
          <w:tab w:val="num" w:pos="0"/>
        </w:tabs>
      </w:pPr>
    </w:lvl>
  </w:abstractNum>
  <w:num w:numId="1">
    <w:abstractNumId w:val="1"/>
  </w:num>
  <w:num w:numId="2">
    <w:abstractNumId w:val="0"/>
  </w:num>
  <w:num w:numId="3">
    <w:abstractNumId w:val="20"/>
  </w:num>
  <w:num w:numId="4">
    <w:abstractNumId w:val="4"/>
  </w:num>
  <w:num w:numId="5">
    <w:abstractNumId w:val="2"/>
    <w:lvlOverride w:ilvl="0">
      <w:lvl w:ilvl="0">
        <w:start w:val="1"/>
        <w:numFmt w:val="bullet"/>
        <w:lvlText w:val=""/>
        <w:legacy w:legacy="1" w:legacySpace="0" w:legacyIndent="360"/>
        <w:lvlJc w:val="left"/>
        <w:pPr>
          <w:ind w:left="720" w:hanging="360"/>
        </w:pPr>
        <w:rPr>
          <w:rFonts w:ascii="Symbol" w:hAnsi="Symbol" w:cs="Symbol" w:hint="default"/>
        </w:rPr>
      </w:lvl>
    </w:lvlOverride>
  </w:num>
  <w:num w:numId="6">
    <w:abstractNumId w:val="6"/>
  </w:num>
  <w:num w:numId="7">
    <w:abstractNumId w:val="5"/>
  </w:num>
  <w:num w:numId="8">
    <w:abstractNumId w:val="12"/>
  </w:num>
  <w:num w:numId="9">
    <w:abstractNumId w:val="8"/>
  </w:num>
  <w:num w:numId="10">
    <w:abstractNumId w:val="7"/>
  </w:num>
  <w:num w:numId="11">
    <w:abstractNumId w:val="14"/>
  </w:num>
  <w:num w:numId="12">
    <w:abstractNumId w:val="20"/>
  </w:num>
  <w:num w:numId="13">
    <w:abstractNumId w:val="20"/>
  </w:num>
  <w:num w:numId="14">
    <w:abstractNumId w:val="20"/>
  </w:num>
  <w:num w:numId="15">
    <w:abstractNumId w:val="16"/>
  </w:num>
  <w:num w:numId="16">
    <w:abstractNumId w:val="19"/>
  </w:num>
  <w:num w:numId="17">
    <w:abstractNumId w:val="9"/>
  </w:num>
  <w:num w:numId="18">
    <w:abstractNumId w:val="3"/>
  </w:num>
  <w:num w:numId="19">
    <w:abstractNumId w:val="18"/>
  </w:num>
  <w:num w:numId="20">
    <w:abstractNumId w:val="15"/>
  </w:num>
  <w:num w:numId="21">
    <w:abstractNumId w:val="13"/>
  </w:num>
  <w:num w:numId="22">
    <w:abstractNumId w:val="10"/>
  </w:num>
  <w:num w:numId="23">
    <w:abstractNumId w:val="11"/>
  </w:num>
  <w:num w:numId="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C0"/>
    <w:rsid w:val="000010A0"/>
    <w:rsid w:val="00002408"/>
    <w:rsid w:val="00010D22"/>
    <w:rsid w:val="00012B60"/>
    <w:rsid w:val="00013892"/>
    <w:rsid w:val="00021724"/>
    <w:rsid w:val="00034291"/>
    <w:rsid w:val="0003459A"/>
    <w:rsid w:val="00035A83"/>
    <w:rsid w:val="000371C6"/>
    <w:rsid w:val="00041543"/>
    <w:rsid w:val="000468CE"/>
    <w:rsid w:val="0005040D"/>
    <w:rsid w:val="000508B3"/>
    <w:rsid w:val="00054530"/>
    <w:rsid w:val="00055645"/>
    <w:rsid w:val="00057DED"/>
    <w:rsid w:val="000618F6"/>
    <w:rsid w:val="00067F3D"/>
    <w:rsid w:val="00074C0F"/>
    <w:rsid w:val="000803BA"/>
    <w:rsid w:val="00085B1C"/>
    <w:rsid w:val="00090282"/>
    <w:rsid w:val="00090F05"/>
    <w:rsid w:val="00097379"/>
    <w:rsid w:val="000A005B"/>
    <w:rsid w:val="000A36B8"/>
    <w:rsid w:val="000B1194"/>
    <w:rsid w:val="000B4092"/>
    <w:rsid w:val="000C076D"/>
    <w:rsid w:val="000C5A96"/>
    <w:rsid w:val="000C6B0A"/>
    <w:rsid w:val="000D16B5"/>
    <w:rsid w:val="000D2ED3"/>
    <w:rsid w:val="000D4117"/>
    <w:rsid w:val="000D4A56"/>
    <w:rsid w:val="000D7787"/>
    <w:rsid w:val="000E11C2"/>
    <w:rsid w:val="000E2B66"/>
    <w:rsid w:val="000E4BB1"/>
    <w:rsid w:val="000F086A"/>
    <w:rsid w:val="000F0C15"/>
    <w:rsid w:val="000F232A"/>
    <w:rsid w:val="000F29AD"/>
    <w:rsid w:val="000F5587"/>
    <w:rsid w:val="001009A3"/>
    <w:rsid w:val="0011224F"/>
    <w:rsid w:val="001164C0"/>
    <w:rsid w:val="00121957"/>
    <w:rsid w:val="0012574D"/>
    <w:rsid w:val="00126F57"/>
    <w:rsid w:val="0013428E"/>
    <w:rsid w:val="00142939"/>
    <w:rsid w:val="00142F5E"/>
    <w:rsid w:val="00144339"/>
    <w:rsid w:val="00145379"/>
    <w:rsid w:val="00146561"/>
    <w:rsid w:val="00162BA3"/>
    <w:rsid w:val="0016584F"/>
    <w:rsid w:val="001724B2"/>
    <w:rsid w:val="00176293"/>
    <w:rsid w:val="00180CE3"/>
    <w:rsid w:val="00190479"/>
    <w:rsid w:val="00191981"/>
    <w:rsid w:val="0019466E"/>
    <w:rsid w:val="00194DFA"/>
    <w:rsid w:val="00195B9F"/>
    <w:rsid w:val="0019690B"/>
    <w:rsid w:val="001A2704"/>
    <w:rsid w:val="001A2DE4"/>
    <w:rsid w:val="001A6A21"/>
    <w:rsid w:val="001A7868"/>
    <w:rsid w:val="001C08EC"/>
    <w:rsid w:val="001C0EF0"/>
    <w:rsid w:val="001C3651"/>
    <w:rsid w:val="001C36A3"/>
    <w:rsid w:val="001C3AAB"/>
    <w:rsid w:val="001C4EEF"/>
    <w:rsid w:val="001D189C"/>
    <w:rsid w:val="001D2386"/>
    <w:rsid w:val="001D312A"/>
    <w:rsid w:val="001D46E2"/>
    <w:rsid w:val="001D65B8"/>
    <w:rsid w:val="001D7CC0"/>
    <w:rsid w:val="001E1242"/>
    <w:rsid w:val="001E1556"/>
    <w:rsid w:val="001E1DF7"/>
    <w:rsid w:val="001E258F"/>
    <w:rsid w:val="001F111F"/>
    <w:rsid w:val="001F28B8"/>
    <w:rsid w:val="001F69A9"/>
    <w:rsid w:val="00201448"/>
    <w:rsid w:val="00203100"/>
    <w:rsid w:val="00207B31"/>
    <w:rsid w:val="002106B7"/>
    <w:rsid w:val="0021079C"/>
    <w:rsid w:val="002164D0"/>
    <w:rsid w:val="002273A3"/>
    <w:rsid w:val="002325C2"/>
    <w:rsid w:val="00235D28"/>
    <w:rsid w:val="00242E01"/>
    <w:rsid w:val="00247DC8"/>
    <w:rsid w:val="002507FE"/>
    <w:rsid w:val="0026042E"/>
    <w:rsid w:val="00260700"/>
    <w:rsid w:val="0026070E"/>
    <w:rsid w:val="00261493"/>
    <w:rsid w:val="00262FDA"/>
    <w:rsid w:val="0026423F"/>
    <w:rsid w:val="0027093A"/>
    <w:rsid w:val="002730AF"/>
    <w:rsid w:val="0028134C"/>
    <w:rsid w:val="00282DC6"/>
    <w:rsid w:val="002834DF"/>
    <w:rsid w:val="00287730"/>
    <w:rsid w:val="002924EE"/>
    <w:rsid w:val="00296614"/>
    <w:rsid w:val="00297386"/>
    <w:rsid w:val="002A0EF7"/>
    <w:rsid w:val="002A2D1F"/>
    <w:rsid w:val="002A3614"/>
    <w:rsid w:val="002A7C7F"/>
    <w:rsid w:val="002B1A59"/>
    <w:rsid w:val="002B351F"/>
    <w:rsid w:val="002B4C07"/>
    <w:rsid w:val="002B57EF"/>
    <w:rsid w:val="002B6271"/>
    <w:rsid w:val="002B729D"/>
    <w:rsid w:val="002C0787"/>
    <w:rsid w:val="002C164B"/>
    <w:rsid w:val="002C1CB6"/>
    <w:rsid w:val="002C762F"/>
    <w:rsid w:val="002D2907"/>
    <w:rsid w:val="002D502A"/>
    <w:rsid w:val="002D5EFD"/>
    <w:rsid w:val="002E1EF9"/>
    <w:rsid w:val="002E33C8"/>
    <w:rsid w:val="002E7D9A"/>
    <w:rsid w:val="002F5793"/>
    <w:rsid w:val="00302DE1"/>
    <w:rsid w:val="00305AB9"/>
    <w:rsid w:val="00313742"/>
    <w:rsid w:val="00314001"/>
    <w:rsid w:val="003154F9"/>
    <w:rsid w:val="00315D88"/>
    <w:rsid w:val="003261E7"/>
    <w:rsid w:val="00333460"/>
    <w:rsid w:val="00340E74"/>
    <w:rsid w:val="00343CF4"/>
    <w:rsid w:val="00345763"/>
    <w:rsid w:val="0035121B"/>
    <w:rsid w:val="003514FB"/>
    <w:rsid w:val="003551C4"/>
    <w:rsid w:val="003579C9"/>
    <w:rsid w:val="0036152E"/>
    <w:rsid w:val="003624EB"/>
    <w:rsid w:val="003652E5"/>
    <w:rsid w:val="00366846"/>
    <w:rsid w:val="00380ADC"/>
    <w:rsid w:val="00380AFF"/>
    <w:rsid w:val="003830F9"/>
    <w:rsid w:val="0038426F"/>
    <w:rsid w:val="003910E3"/>
    <w:rsid w:val="00392293"/>
    <w:rsid w:val="00394BF0"/>
    <w:rsid w:val="00395BD0"/>
    <w:rsid w:val="003A2FEA"/>
    <w:rsid w:val="003A3EE0"/>
    <w:rsid w:val="003A4B33"/>
    <w:rsid w:val="003A4E5C"/>
    <w:rsid w:val="003A5898"/>
    <w:rsid w:val="003B2279"/>
    <w:rsid w:val="003C02DD"/>
    <w:rsid w:val="003C0667"/>
    <w:rsid w:val="003C4D12"/>
    <w:rsid w:val="003C4D8C"/>
    <w:rsid w:val="003C781D"/>
    <w:rsid w:val="003D1156"/>
    <w:rsid w:val="003D1255"/>
    <w:rsid w:val="003D306E"/>
    <w:rsid w:val="003D3E94"/>
    <w:rsid w:val="003D40AC"/>
    <w:rsid w:val="003E4D28"/>
    <w:rsid w:val="003E6254"/>
    <w:rsid w:val="003F2F37"/>
    <w:rsid w:val="003F4EBC"/>
    <w:rsid w:val="0040002E"/>
    <w:rsid w:val="00405DB2"/>
    <w:rsid w:val="00406DEC"/>
    <w:rsid w:val="0041258A"/>
    <w:rsid w:val="00415636"/>
    <w:rsid w:val="004162F6"/>
    <w:rsid w:val="00417B25"/>
    <w:rsid w:val="0042397D"/>
    <w:rsid w:val="004250C4"/>
    <w:rsid w:val="0042613C"/>
    <w:rsid w:val="0043089D"/>
    <w:rsid w:val="00431430"/>
    <w:rsid w:val="00441AE0"/>
    <w:rsid w:val="00443B48"/>
    <w:rsid w:val="00447880"/>
    <w:rsid w:val="00450A2B"/>
    <w:rsid w:val="0046698B"/>
    <w:rsid w:val="0046703B"/>
    <w:rsid w:val="004675B5"/>
    <w:rsid w:val="0047126E"/>
    <w:rsid w:val="004717C0"/>
    <w:rsid w:val="004732A0"/>
    <w:rsid w:val="0048284F"/>
    <w:rsid w:val="00483B2B"/>
    <w:rsid w:val="00483F76"/>
    <w:rsid w:val="004949AA"/>
    <w:rsid w:val="0049573C"/>
    <w:rsid w:val="004A2B34"/>
    <w:rsid w:val="004A68FF"/>
    <w:rsid w:val="004A6BAA"/>
    <w:rsid w:val="004B28BD"/>
    <w:rsid w:val="004B3847"/>
    <w:rsid w:val="004B55D2"/>
    <w:rsid w:val="004C0EDD"/>
    <w:rsid w:val="004C343F"/>
    <w:rsid w:val="004C55A2"/>
    <w:rsid w:val="004C7179"/>
    <w:rsid w:val="004D0CA7"/>
    <w:rsid w:val="004D2575"/>
    <w:rsid w:val="004D3CBE"/>
    <w:rsid w:val="004D49FB"/>
    <w:rsid w:val="004D75F9"/>
    <w:rsid w:val="004D7E27"/>
    <w:rsid w:val="004E078A"/>
    <w:rsid w:val="004E1301"/>
    <w:rsid w:val="004E33D9"/>
    <w:rsid w:val="004E3C49"/>
    <w:rsid w:val="004E3E62"/>
    <w:rsid w:val="00500829"/>
    <w:rsid w:val="00521AE2"/>
    <w:rsid w:val="0052276B"/>
    <w:rsid w:val="00524A16"/>
    <w:rsid w:val="00530A03"/>
    <w:rsid w:val="00530BD5"/>
    <w:rsid w:val="00536A6B"/>
    <w:rsid w:val="005438B1"/>
    <w:rsid w:val="0054748C"/>
    <w:rsid w:val="005477D3"/>
    <w:rsid w:val="005505BD"/>
    <w:rsid w:val="00550D11"/>
    <w:rsid w:val="00551412"/>
    <w:rsid w:val="00556F7F"/>
    <w:rsid w:val="00557652"/>
    <w:rsid w:val="00560E0C"/>
    <w:rsid w:val="005631B8"/>
    <w:rsid w:val="00563C89"/>
    <w:rsid w:val="00563E90"/>
    <w:rsid w:val="0056575C"/>
    <w:rsid w:val="005817EC"/>
    <w:rsid w:val="00581EBC"/>
    <w:rsid w:val="005829E5"/>
    <w:rsid w:val="00583C3B"/>
    <w:rsid w:val="00584275"/>
    <w:rsid w:val="00586A69"/>
    <w:rsid w:val="00586E22"/>
    <w:rsid w:val="00590CEC"/>
    <w:rsid w:val="0059204E"/>
    <w:rsid w:val="00593C40"/>
    <w:rsid w:val="005A3691"/>
    <w:rsid w:val="005B021E"/>
    <w:rsid w:val="005B2336"/>
    <w:rsid w:val="005C45FD"/>
    <w:rsid w:val="005C5133"/>
    <w:rsid w:val="005C6B9D"/>
    <w:rsid w:val="005D3925"/>
    <w:rsid w:val="005D506F"/>
    <w:rsid w:val="005E0D05"/>
    <w:rsid w:val="005E12BA"/>
    <w:rsid w:val="005E137B"/>
    <w:rsid w:val="005E3CF5"/>
    <w:rsid w:val="005F247E"/>
    <w:rsid w:val="006026F5"/>
    <w:rsid w:val="006033EA"/>
    <w:rsid w:val="00606A19"/>
    <w:rsid w:val="00612901"/>
    <w:rsid w:val="00612EA8"/>
    <w:rsid w:val="00624930"/>
    <w:rsid w:val="00630D5A"/>
    <w:rsid w:val="00632FF3"/>
    <w:rsid w:val="006366B5"/>
    <w:rsid w:val="00640ED6"/>
    <w:rsid w:val="006443AB"/>
    <w:rsid w:val="006461A8"/>
    <w:rsid w:val="00651939"/>
    <w:rsid w:val="0065526D"/>
    <w:rsid w:val="00655F44"/>
    <w:rsid w:val="00660962"/>
    <w:rsid w:val="00664958"/>
    <w:rsid w:val="00667F67"/>
    <w:rsid w:val="00670DB3"/>
    <w:rsid w:val="00673DD2"/>
    <w:rsid w:val="006764CA"/>
    <w:rsid w:val="006779D4"/>
    <w:rsid w:val="00677E92"/>
    <w:rsid w:val="006875C9"/>
    <w:rsid w:val="006906B8"/>
    <w:rsid w:val="0069657C"/>
    <w:rsid w:val="00696F01"/>
    <w:rsid w:val="006A0A0B"/>
    <w:rsid w:val="006A1290"/>
    <w:rsid w:val="006A31C9"/>
    <w:rsid w:val="006A3257"/>
    <w:rsid w:val="006A436E"/>
    <w:rsid w:val="006A78E1"/>
    <w:rsid w:val="006B194E"/>
    <w:rsid w:val="006B4158"/>
    <w:rsid w:val="006B4182"/>
    <w:rsid w:val="006B5879"/>
    <w:rsid w:val="006C12FC"/>
    <w:rsid w:val="006C5FE8"/>
    <w:rsid w:val="006C782F"/>
    <w:rsid w:val="006D6886"/>
    <w:rsid w:val="006E0F96"/>
    <w:rsid w:val="006E14A5"/>
    <w:rsid w:val="006E2618"/>
    <w:rsid w:val="006F1A06"/>
    <w:rsid w:val="006F3488"/>
    <w:rsid w:val="00700B2C"/>
    <w:rsid w:val="007024D0"/>
    <w:rsid w:val="00702DC3"/>
    <w:rsid w:val="00703B42"/>
    <w:rsid w:val="00704762"/>
    <w:rsid w:val="0070597A"/>
    <w:rsid w:val="0070766B"/>
    <w:rsid w:val="0071079F"/>
    <w:rsid w:val="00710B08"/>
    <w:rsid w:val="00714FF7"/>
    <w:rsid w:val="007150AF"/>
    <w:rsid w:val="00717AC8"/>
    <w:rsid w:val="00720047"/>
    <w:rsid w:val="007207AF"/>
    <w:rsid w:val="0072175B"/>
    <w:rsid w:val="00730E0D"/>
    <w:rsid w:val="007322B4"/>
    <w:rsid w:val="00732AE9"/>
    <w:rsid w:val="00734D4B"/>
    <w:rsid w:val="007357A7"/>
    <w:rsid w:val="00741F10"/>
    <w:rsid w:val="00743C5C"/>
    <w:rsid w:val="00747649"/>
    <w:rsid w:val="00750BF6"/>
    <w:rsid w:val="0075359D"/>
    <w:rsid w:val="00753C79"/>
    <w:rsid w:val="00755FAA"/>
    <w:rsid w:val="00763A2F"/>
    <w:rsid w:val="007669CB"/>
    <w:rsid w:val="007700AA"/>
    <w:rsid w:val="00772435"/>
    <w:rsid w:val="00774321"/>
    <w:rsid w:val="00775C07"/>
    <w:rsid w:val="00776454"/>
    <w:rsid w:val="0077676A"/>
    <w:rsid w:val="00781325"/>
    <w:rsid w:val="00785966"/>
    <w:rsid w:val="0078621C"/>
    <w:rsid w:val="00786ABA"/>
    <w:rsid w:val="00791384"/>
    <w:rsid w:val="00795858"/>
    <w:rsid w:val="007959B7"/>
    <w:rsid w:val="00796BC9"/>
    <w:rsid w:val="007A003B"/>
    <w:rsid w:val="007A37D6"/>
    <w:rsid w:val="007B3FFB"/>
    <w:rsid w:val="007C0117"/>
    <w:rsid w:val="007C0959"/>
    <w:rsid w:val="007D0F15"/>
    <w:rsid w:val="007D69E4"/>
    <w:rsid w:val="007E01B2"/>
    <w:rsid w:val="007E0ABB"/>
    <w:rsid w:val="007E0B3F"/>
    <w:rsid w:val="007E6829"/>
    <w:rsid w:val="007E7C71"/>
    <w:rsid w:val="007F0F1C"/>
    <w:rsid w:val="007F3115"/>
    <w:rsid w:val="007F3BCF"/>
    <w:rsid w:val="007F7A9B"/>
    <w:rsid w:val="00802709"/>
    <w:rsid w:val="0080526D"/>
    <w:rsid w:val="00806DB7"/>
    <w:rsid w:val="00807451"/>
    <w:rsid w:val="008123B0"/>
    <w:rsid w:val="008145B5"/>
    <w:rsid w:val="008146EF"/>
    <w:rsid w:val="0082341F"/>
    <w:rsid w:val="00824B77"/>
    <w:rsid w:val="00830A37"/>
    <w:rsid w:val="00833346"/>
    <w:rsid w:val="00835739"/>
    <w:rsid w:val="00836063"/>
    <w:rsid w:val="00841E75"/>
    <w:rsid w:val="00846299"/>
    <w:rsid w:val="0085220D"/>
    <w:rsid w:val="0085437F"/>
    <w:rsid w:val="008571A5"/>
    <w:rsid w:val="0086039A"/>
    <w:rsid w:val="00860B1C"/>
    <w:rsid w:val="008640F4"/>
    <w:rsid w:val="0086498E"/>
    <w:rsid w:val="00866736"/>
    <w:rsid w:val="00871EBC"/>
    <w:rsid w:val="00872B12"/>
    <w:rsid w:val="0087714A"/>
    <w:rsid w:val="00877899"/>
    <w:rsid w:val="00880180"/>
    <w:rsid w:val="00881482"/>
    <w:rsid w:val="008819EF"/>
    <w:rsid w:val="0088735E"/>
    <w:rsid w:val="0089031A"/>
    <w:rsid w:val="00896259"/>
    <w:rsid w:val="008978AA"/>
    <w:rsid w:val="00897EA3"/>
    <w:rsid w:val="008A1A66"/>
    <w:rsid w:val="008A7AC4"/>
    <w:rsid w:val="008B423B"/>
    <w:rsid w:val="008B64EB"/>
    <w:rsid w:val="008C18C7"/>
    <w:rsid w:val="008C1D28"/>
    <w:rsid w:val="008C1D59"/>
    <w:rsid w:val="008C51E6"/>
    <w:rsid w:val="008C7400"/>
    <w:rsid w:val="008D0B66"/>
    <w:rsid w:val="008D21C9"/>
    <w:rsid w:val="008D4BB9"/>
    <w:rsid w:val="008E51EB"/>
    <w:rsid w:val="008E531C"/>
    <w:rsid w:val="008E535C"/>
    <w:rsid w:val="008E5A8B"/>
    <w:rsid w:val="008F4639"/>
    <w:rsid w:val="008F5F9A"/>
    <w:rsid w:val="008F6F80"/>
    <w:rsid w:val="00900930"/>
    <w:rsid w:val="00900FC1"/>
    <w:rsid w:val="00904A75"/>
    <w:rsid w:val="00904CEA"/>
    <w:rsid w:val="00906014"/>
    <w:rsid w:val="00906D07"/>
    <w:rsid w:val="00906FB6"/>
    <w:rsid w:val="009102AF"/>
    <w:rsid w:val="0091067B"/>
    <w:rsid w:val="00912821"/>
    <w:rsid w:val="00912F37"/>
    <w:rsid w:val="00921C36"/>
    <w:rsid w:val="009224A2"/>
    <w:rsid w:val="00931C1C"/>
    <w:rsid w:val="00935433"/>
    <w:rsid w:val="0093657B"/>
    <w:rsid w:val="00940B72"/>
    <w:rsid w:val="00940E32"/>
    <w:rsid w:val="009414FB"/>
    <w:rsid w:val="0094181C"/>
    <w:rsid w:val="009532E2"/>
    <w:rsid w:val="0095744A"/>
    <w:rsid w:val="00960A6F"/>
    <w:rsid w:val="0096368D"/>
    <w:rsid w:val="0096455A"/>
    <w:rsid w:val="00965AAD"/>
    <w:rsid w:val="00966299"/>
    <w:rsid w:val="009679FD"/>
    <w:rsid w:val="00967CC1"/>
    <w:rsid w:val="00970C0A"/>
    <w:rsid w:val="00972BE9"/>
    <w:rsid w:val="00973DC5"/>
    <w:rsid w:val="00982989"/>
    <w:rsid w:val="00984B8F"/>
    <w:rsid w:val="009876E2"/>
    <w:rsid w:val="009938A3"/>
    <w:rsid w:val="00995542"/>
    <w:rsid w:val="009B0A7A"/>
    <w:rsid w:val="009B1116"/>
    <w:rsid w:val="009B20CB"/>
    <w:rsid w:val="009B211D"/>
    <w:rsid w:val="009B4B21"/>
    <w:rsid w:val="009C7791"/>
    <w:rsid w:val="009D0F04"/>
    <w:rsid w:val="009D0F0C"/>
    <w:rsid w:val="009D2338"/>
    <w:rsid w:val="009D422E"/>
    <w:rsid w:val="009D666F"/>
    <w:rsid w:val="009E0621"/>
    <w:rsid w:val="009E2EAF"/>
    <w:rsid w:val="009E3674"/>
    <w:rsid w:val="009E603F"/>
    <w:rsid w:val="009E6C0C"/>
    <w:rsid w:val="009E74CD"/>
    <w:rsid w:val="009F0792"/>
    <w:rsid w:val="009F22B2"/>
    <w:rsid w:val="009F277C"/>
    <w:rsid w:val="009F463C"/>
    <w:rsid w:val="009F5DF6"/>
    <w:rsid w:val="009F6FF7"/>
    <w:rsid w:val="009F7CE4"/>
    <w:rsid w:val="00A014C2"/>
    <w:rsid w:val="00A01687"/>
    <w:rsid w:val="00A022A9"/>
    <w:rsid w:val="00A0425D"/>
    <w:rsid w:val="00A1150A"/>
    <w:rsid w:val="00A1204C"/>
    <w:rsid w:val="00A12091"/>
    <w:rsid w:val="00A13783"/>
    <w:rsid w:val="00A17451"/>
    <w:rsid w:val="00A17FE6"/>
    <w:rsid w:val="00A2142A"/>
    <w:rsid w:val="00A31E55"/>
    <w:rsid w:val="00A33BCE"/>
    <w:rsid w:val="00A34E42"/>
    <w:rsid w:val="00A354A0"/>
    <w:rsid w:val="00A35DC9"/>
    <w:rsid w:val="00A43574"/>
    <w:rsid w:val="00A45D7E"/>
    <w:rsid w:val="00A46331"/>
    <w:rsid w:val="00A46808"/>
    <w:rsid w:val="00A54843"/>
    <w:rsid w:val="00A56CDE"/>
    <w:rsid w:val="00A620E7"/>
    <w:rsid w:val="00A63B3F"/>
    <w:rsid w:val="00A65074"/>
    <w:rsid w:val="00A655D1"/>
    <w:rsid w:val="00A65CAA"/>
    <w:rsid w:val="00A66CE1"/>
    <w:rsid w:val="00A67E3B"/>
    <w:rsid w:val="00A72DE3"/>
    <w:rsid w:val="00A801F5"/>
    <w:rsid w:val="00A81DD2"/>
    <w:rsid w:val="00A837A1"/>
    <w:rsid w:val="00A8575C"/>
    <w:rsid w:val="00A857D5"/>
    <w:rsid w:val="00A87994"/>
    <w:rsid w:val="00A87A80"/>
    <w:rsid w:val="00A911B5"/>
    <w:rsid w:val="00A9209F"/>
    <w:rsid w:val="00A9277B"/>
    <w:rsid w:val="00A933B5"/>
    <w:rsid w:val="00A95F9F"/>
    <w:rsid w:val="00AA6983"/>
    <w:rsid w:val="00AB3ABA"/>
    <w:rsid w:val="00AB71A4"/>
    <w:rsid w:val="00AC06E3"/>
    <w:rsid w:val="00AC1512"/>
    <w:rsid w:val="00AD0EB3"/>
    <w:rsid w:val="00AD56F1"/>
    <w:rsid w:val="00AD6D88"/>
    <w:rsid w:val="00AE2636"/>
    <w:rsid w:val="00AE2B31"/>
    <w:rsid w:val="00AE2D87"/>
    <w:rsid w:val="00AE5C7F"/>
    <w:rsid w:val="00AF1ADA"/>
    <w:rsid w:val="00AF2877"/>
    <w:rsid w:val="00B0001C"/>
    <w:rsid w:val="00B00EC4"/>
    <w:rsid w:val="00B03FBB"/>
    <w:rsid w:val="00B0595A"/>
    <w:rsid w:val="00B068FE"/>
    <w:rsid w:val="00B110A2"/>
    <w:rsid w:val="00B1414E"/>
    <w:rsid w:val="00B14464"/>
    <w:rsid w:val="00B23D09"/>
    <w:rsid w:val="00B27C72"/>
    <w:rsid w:val="00B31927"/>
    <w:rsid w:val="00B321DB"/>
    <w:rsid w:val="00B33858"/>
    <w:rsid w:val="00B34E0B"/>
    <w:rsid w:val="00B34F19"/>
    <w:rsid w:val="00B3551D"/>
    <w:rsid w:val="00B36507"/>
    <w:rsid w:val="00B40C39"/>
    <w:rsid w:val="00B42FE9"/>
    <w:rsid w:val="00B44DEA"/>
    <w:rsid w:val="00B459A7"/>
    <w:rsid w:val="00B52536"/>
    <w:rsid w:val="00B52B75"/>
    <w:rsid w:val="00B53027"/>
    <w:rsid w:val="00B530E1"/>
    <w:rsid w:val="00B54AEC"/>
    <w:rsid w:val="00B85214"/>
    <w:rsid w:val="00B871F1"/>
    <w:rsid w:val="00B90295"/>
    <w:rsid w:val="00B92988"/>
    <w:rsid w:val="00B9620C"/>
    <w:rsid w:val="00BA0A59"/>
    <w:rsid w:val="00BA3D2E"/>
    <w:rsid w:val="00BA7210"/>
    <w:rsid w:val="00BB2BF3"/>
    <w:rsid w:val="00BB2F6B"/>
    <w:rsid w:val="00BB6395"/>
    <w:rsid w:val="00BC579B"/>
    <w:rsid w:val="00BC5C9D"/>
    <w:rsid w:val="00BC672B"/>
    <w:rsid w:val="00BC76AB"/>
    <w:rsid w:val="00BD0575"/>
    <w:rsid w:val="00BD14E3"/>
    <w:rsid w:val="00BD4CEA"/>
    <w:rsid w:val="00BD6219"/>
    <w:rsid w:val="00BE0613"/>
    <w:rsid w:val="00BE099E"/>
    <w:rsid w:val="00BE0B4C"/>
    <w:rsid w:val="00BE1554"/>
    <w:rsid w:val="00BE3647"/>
    <w:rsid w:val="00BE4153"/>
    <w:rsid w:val="00BE49A9"/>
    <w:rsid w:val="00BE6298"/>
    <w:rsid w:val="00BF5C78"/>
    <w:rsid w:val="00BF5D28"/>
    <w:rsid w:val="00BF7308"/>
    <w:rsid w:val="00C03EE5"/>
    <w:rsid w:val="00C10470"/>
    <w:rsid w:val="00C11E64"/>
    <w:rsid w:val="00C1424D"/>
    <w:rsid w:val="00C144C4"/>
    <w:rsid w:val="00C15672"/>
    <w:rsid w:val="00C274B3"/>
    <w:rsid w:val="00C32CD9"/>
    <w:rsid w:val="00C46B01"/>
    <w:rsid w:val="00C4708F"/>
    <w:rsid w:val="00C47C09"/>
    <w:rsid w:val="00C52777"/>
    <w:rsid w:val="00C5664A"/>
    <w:rsid w:val="00C618EE"/>
    <w:rsid w:val="00C62DA2"/>
    <w:rsid w:val="00C66D05"/>
    <w:rsid w:val="00C678C3"/>
    <w:rsid w:val="00C73DEC"/>
    <w:rsid w:val="00C77901"/>
    <w:rsid w:val="00C92BA5"/>
    <w:rsid w:val="00C95C8A"/>
    <w:rsid w:val="00CA0BE6"/>
    <w:rsid w:val="00CA3F6D"/>
    <w:rsid w:val="00CA54E9"/>
    <w:rsid w:val="00CA5892"/>
    <w:rsid w:val="00CA6C0C"/>
    <w:rsid w:val="00CB1C08"/>
    <w:rsid w:val="00CC2BF7"/>
    <w:rsid w:val="00CC705A"/>
    <w:rsid w:val="00CD00F6"/>
    <w:rsid w:val="00CD1A13"/>
    <w:rsid w:val="00CD203C"/>
    <w:rsid w:val="00CD695C"/>
    <w:rsid w:val="00CD7AE2"/>
    <w:rsid w:val="00CE2B1B"/>
    <w:rsid w:val="00CE3502"/>
    <w:rsid w:val="00CE4BFA"/>
    <w:rsid w:val="00CE5AF0"/>
    <w:rsid w:val="00CF0793"/>
    <w:rsid w:val="00CF138E"/>
    <w:rsid w:val="00CF3466"/>
    <w:rsid w:val="00CF51CF"/>
    <w:rsid w:val="00D0058B"/>
    <w:rsid w:val="00D04B70"/>
    <w:rsid w:val="00D064E4"/>
    <w:rsid w:val="00D10412"/>
    <w:rsid w:val="00D15821"/>
    <w:rsid w:val="00D1757C"/>
    <w:rsid w:val="00D17CB0"/>
    <w:rsid w:val="00D22C78"/>
    <w:rsid w:val="00D27158"/>
    <w:rsid w:val="00D27D8B"/>
    <w:rsid w:val="00D33DE4"/>
    <w:rsid w:val="00D43A22"/>
    <w:rsid w:val="00D50837"/>
    <w:rsid w:val="00D5587A"/>
    <w:rsid w:val="00D5753F"/>
    <w:rsid w:val="00D62471"/>
    <w:rsid w:val="00D71ED0"/>
    <w:rsid w:val="00D72967"/>
    <w:rsid w:val="00D73BDE"/>
    <w:rsid w:val="00D743E7"/>
    <w:rsid w:val="00D757C3"/>
    <w:rsid w:val="00D76B2F"/>
    <w:rsid w:val="00D8170D"/>
    <w:rsid w:val="00D82B31"/>
    <w:rsid w:val="00D83590"/>
    <w:rsid w:val="00D85C90"/>
    <w:rsid w:val="00D92C4E"/>
    <w:rsid w:val="00D97A00"/>
    <w:rsid w:val="00DA0B00"/>
    <w:rsid w:val="00DA182B"/>
    <w:rsid w:val="00DA2778"/>
    <w:rsid w:val="00DA3F2A"/>
    <w:rsid w:val="00DB31C1"/>
    <w:rsid w:val="00DB3830"/>
    <w:rsid w:val="00DB3D92"/>
    <w:rsid w:val="00DB4440"/>
    <w:rsid w:val="00DB5A7D"/>
    <w:rsid w:val="00DB681C"/>
    <w:rsid w:val="00DB6CC6"/>
    <w:rsid w:val="00DB7C49"/>
    <w:rsid w:val="00DC309A"/>
    <w:rsid w:val="00DC5C86"/>
    <w:rsid w:val="00DD40C0"/>
    <w:rsid w:val="00DD42A7"/>
    <w:rsid w:val="00DD6A37"/>
    <w:rsid w:val="00DD6D49"/>
    <w:rsid w:val="00DD72BA"/>
    <w:rsid w:val="00DE20EF"/>
    <w:rsid w:val="00DE28E3"/>
    <w:rsid w:val="00DE2CDC"/>
    <w:rsid w:val="00DE4711"/>
    <w:rsid w:val="00DE4F07"/>
    <w:rsid w:val="00DE521B"/>
    <w:rsid w:val="00DE5A68"/>
    <w:rsid w:val="00DE6935"/>
    <w:rsid w:val="00DF01A7"/>
    <w:rsid w:val="00DF0E7C"/>
    <w:rsid w:val="00DF3AAF"/>
    <w:rsid w:val="00DF789F"/>
    <w:rsid w:val="00E02FEB"/>
    <w:rsid w:val="00E052B1"/>
    <w:rsid w:val="00E05318"/>
    <w:rsid w:val="00E1041A"/>
    <w:rsid w:val="00E11B09"/>
    <w:rsid w:val="00E12549"/>
    <w:rsid w:val="00E12C23"/>
    <w:rsid w:val="00E13FC6"/>
    <w:rsid w:val="00E14066"/>
    <w:rsid w:val="00E14F6D"/>
    <w:rsid w:val="00E17415"/>
    <w:rsid w:val="00E22BE1"/>
    <w:rsid w:val="00E24F6B"/>
    <w:rsid w:val="00E265DF"/>
    <w:rsid w:val="00E27E98"/>
    <w:rsid w:val="00E35084"/>
    <w:rsid w:val="00E3592F"/>
    <w:rsid w:val="00E3688E"/>
    <w:rsid w:val="00E36EDA"/>
    <w:rsid w:val="00E423EA"/>
    <w:rsid w:val="00E42A1B"/>
    <w:rsid w:val="00E45FDD"/>
    <w:rsid w:val="00E46A21"/>
    <w:rsid w:val="00E50C60"/>
    <w:rsid w:val="00E51018"/>
    <w:rsid w:val="00E56AC3"/>
    <w:rsid w:val="00E60252"/>
    <w:rsid w:val="00E618BE"/>
    <w:rsid w:val="00E61E9B"/>
    <w:rsid w:val="00E63C02"/>
    <w:rsid w:val="00E66699"/>
    <w:rsid w:val="00E74859"/>
    <w:rsid w:val="00E74DCA"/>
    <w:rsid w:val="00E82440"/>
    <w:rsid w:val="00E82D41"/>
    <w:rsid w:val="00E84047"/>
    <w:rsid w:val="00E86AE8"/>
    <w:rsid w:val="00E87EF5"/>
    <w:rsid w:val="00E903FC"/>
    <w:rsid w:val="00EA2E1C"/>
    <w:rsid w:val="00EA7C59"/>
    <w:rsid w:val="00EB13F5"/>
    <w:rsid w:val="00EB22FD"/>
    <w:rsid w:val="00EC08D0"/>
    <w:rsid w:val="00EC326B"/>
    <w:rsid w:val="00EC5243"/>
    <w:rsid w:val="00EC52C1"/>
    <w:rsid w:val="00EC6C39"/>
    <w:rsid w:val="00ED06B3"/>
    <w:rsid w:val="00ED265B"/>
    <w:rsid w:val="00ED5C6B"/>
    <w:rsid w:val="00ED6ECC"/>
    <w:rsid w:val="00ED7DCA"/>
    <w:rsid w:val="00EE1E52"/>
    <w:rsid w:val="00EE2846"/>
    <w:rsid w:val="00EE2A11"/>
    <w:rsid w:val="00EE35F8"/>
    <w:rsid w:val="00EE4C3F"/>
    <w:rsid w:val="00EE5A24"/>
    <w:rsid w:val="00EE6AB6"/>
    <w:rsid w:val="00EF6AEA"/>
    <w:rsid w:val="00F00567"/>
    <w:rsid w:val="00F04CC3"/>
    <w:rsid w:val="00F055BC"/>
    <w:rsid w:val="00F07725"/>
    <w:rsid w:val="00F113C0"/>
    <w:rsid w:val="00F13050"/>
    <w:rsid w:val="00F13BF9"/>
    <w:rsid w:val="00F25EE3"/>
    <w:rsid w:val="00F27AF1"/>
    <w:rsid w:val="00F30937"/>
    <w:rsid w:val="00F36BA6"/>
    <w:rsid w:val="00F428E0"/>
    <w:rsid w:val="00F458CF"/>
    <w:rsid w:val="00F473A5"/>
    <w:rsid w:val="00F52114"/>
    <w:rsid w:val="00F55986"/>
    <w:rsid w:val="00F565EF"/>
    <w:rsid w:val="00F61934"/>
    <w:rsid w:val="00F63D15"/>
    <w:rsid w:val="00F705D8"/>
    <w:rsid w:val="00F70BE0"/>
    <w:rsid w:val="00F70CCE"/>
    <w:rsid w:val="00F71C25"/>
    <w:rsid w:val="00F75537"/>
    <w:rsid w:val="00F8064B"/>
    <w:rsid w:val="00F87530"/>
    <w:rsid w:val="00F8797B"/>
    <w:rsid w:val="00F93E99"/>
    <w:rsid w:val="00F94D4F"/>
    <w:rsid w:val="00FA1095"/>
    <w:rsid w:val="00FA4BAF"/>
    <w:rsid w:val="00FA7F78"/>
    <w:rsid w:val="00FB0EFE"/>
    <w:rsid w:val="00FB3F5E"/>
    <w:rsid w:val="00FC2A3D"/>
    <w:rsid w:val="00FC327E"/>
    <w:rsid w:val="00FC74C5"/>
    <w:rsid w:val="00FD3E5C"/>
    <w:rsid w:val="00FD3FD4"/>
    <w:rsid w:val="00FD6592"/>
    <w:rsid w:val="00FD7051"/>
    <w:rsid w:val="00FE1EBF"/>
    <w:rsid w:val="00FE2291"/>
    <w:rsid w:val="00FE4208"/>
    <w:rsid w:val="00FE5E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7FDC0AA6-77E6-45B1-B1DF-CDFC2B83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 w:val="24"/>
      <w:szCs w:val="24"/>
    </w:rPr>
  </w:style>
  <w:style w:type="paragraph" w:styleId="Nadpis1">
    <w:name w:val="heading 1"/>
    <w:aliases w:val="H1"/>
    <w:basedOn w:val="Normln"/>
    <w:next w:val="Normln"/>
    <w:qFormat/>
    <w:pPr>
      <w:keepNext/>
      <w:numPr>
        <w:numId w:val="3"/>
      </w:numPr>
      <w:spacing w:before="240" w:after="60"/>
      <w:outlineLvl w:val="0"/>
    </w:pPr>
    <w:rPr>
      <w:b/>
      <w:bCs/>
      <w:kern w:val="28"/>
      <w:sz w:val="28"/>
      <w:szCs w:val="28"/>
    </w:rPr>
  </w:style>
  <w:style w:type="paragraph" w:styleId="Nadpis2">
    <w:name w:val="heading 2"/>
    <w:aliases w:val="H2,H21,H22"/>
    <w:basedOn w:val="Normln"/>
    <w:next w:val="Normln"/>
    <w:qFormat/>
    <w:pPr>
      <w:keepNext/>
      <w:numPr>
        <w:ilvl w:val="1"/>
        <w:numId w:val="3"/>
      </w:numPr>
      <w:tabs>
        <w:tab w:val="left" w:pos="851"/>
      </w:tabs>
      <w:spacing w:before="120" w:after="60" w:line="240" w:lineRule="atLeast"/>
      <w:outlineLvl w:val="1"/>
    </w:pPr>
    <w:rPr>
      <w:b/>
      <w:bCs/>
      <w:color w:val="000000"/>
    </w:rPr>
  </w:style>
  <w:style w:type="paragraph" w:styleId="Nadpis3">
    <w:name w:val="heading 3"/>
    <w:aliases w:val="H3,H31,H32"/>
    <w:basedOn w:val="Normln"/>
    <w:next w:val="Normln"/>
    <w:qFormat/>
    <w:pPr>
      <w:keepNext/>
      <w:numPr>
        <w:ilvl w:val="2"/>
        <w:numId w:val="3"/>
      </w:numPr>
      <w:spacing w:before="120" w:after="60"/>
      <w:outlineLvl w:val="2"/>
    </w:pPr>
    <w:rPr>
      <w:b/>
      <w:bCs/>
    </w:rPr>
  </w:style>
  <w:style w:type="paragraph" w:styleId="Nadpis4">
    <w:name w:val="heading 4"/>
    <w:aliases w:val="H4"/>
    <w:basedOn w:val="Normln"/>
    <w:next w:val="Normln"/>
    <w:qFormat/>
    <w:pPr>
      <w:keepNext/>
      <w:numPr>
        <w:ilvl w:val="3"/>
        <w:numId w:val="3"/>
      </w:numPr>
      <w:spacing w:before="240" w:after="60"/>
      <w:outlineLvl w:val="3"/>
    </w:pPr>
  </w:style>
  <w:style w:type="paragraph" w:styleId="Nadpis5">
    <w:name w:val="heading 5"/>
    <w:aliases w:val="H5,H51,H52"/>
    <w:basedOn w:val="Normln"/>
    <w:next w:val="Normln"/>
    <w:qFormat/>
    <w:pPr>
      <w:numPr>
        <w:ilvl w:val="4"/>
        <w:numId w:val="3"/>
      </w:numPr>
      <w:spacing w:before="240" w:after="60"/>
      <w:outlineLvl w:val="4"/>
    </w:pPr>
  </w:style>
  <w:style w:type="paragraph" w:styleId="Nadpis6">
    <w:name w:val="heading 6"/>
    <w:aliases w:val="H6,H61,H62"/>
    <w:basedOn w:val="Normln"/>
    <w:next w:val="Normln"/>
    <w:qFormat/>
    <w:pPr>
      <w:numPr>
        <w:ilvl w:val="5"/>
        <w:numId w:val="3"/>
      </w:numPr>
      <w:spacing w:before="240" w:after="60"/>
      <w:outlineLvl w:val="5"/>
    </w:pPr>
    <w:rPr>
      <w:i/>
      <w:iCs/>
      <w:sz w:val="22"/>
      <w:szCs w:val="22"/>
    </w:rPr>
  </w:style>
  <w:style w:type="paragraph" w:styleId="Nadpis7">
    <w:name w:val="heading 7"/>
    <w:basedOn w:val="Normln"/>
    <w:next w:val="Normln"/>
    <w:qFormat/>
    <w:pPr>
      <w:numPr>
        <w:ilvl w:val="6"/>
        <w:numId w:val="3"/>
      </w:numPr>
      <w:spacing w:before="240" w:after="60"/>
      <w:outlineLvl w:val="6"/>
    </w:pPr>
    <w:rPr>
      <w:rFonts w:ascii="Arial" w:hAnsi="Arial" w:cs="Arial"/>
    </w:rPr>
  </w:style>
  <w:style w:type="paragraph" w:styleId="Nadpis8">
    <w:name w:val="heading 8"/>
    <w:basedOn w:val="Normln"/>
    <w:next w:val="Normln"/>
    <w:qFormat/>
    <w:pPr>
      <w:numPr>
        <w:ilvl w:val="7"/>
        <w:numId w:val="3"/>
      </w:numPr>
      <w:spacing w:before="240" w:after="60"/>
      <w:outlineLvl w:val="7"/>
    </w:pPr>
    <w:rPr>
      <w:rFonts w:ascii="Arial" w:hAnsi="Arial" w:cs="Arial"/>
      <w:i/>
      <w:iCs/>
    </w:rPr>
  </w:style>
  <w:style w:type="paragraph" w:styleId="Nadpis9">
    <w:name w:val="heading 9"/>
    <w:basedOn w:val="Normln"/>
    <w:next w:val="Normln"/>
    <w:qFormat/>
    <w:pPr>
      <w:numPr>
        <w:ilvl w:val="8"/>
        <w:numId w:val="3"/>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autoRedefine/>
    <w:pPr>
      <w:numPr>
        <w:numId w:val="2"/>
      </w:numPr>
      <w:tabs>
        <w:tab w:val="num" w:pos="926"/>
      </w:tabs>
      <w:ind w:left="360"/>
    </w:pPr>
  </w:style>
  <w:style w:type="paragraph" w:customStyle="1" w:styleId="Styl1">
    <w:name w:val="Styl1"/>
    <w:basedOn w:val="Normln"/>
    <w:pPr>
      <w:numPr>
        <w:numId w:val="1"/>
      </w:numPr>
      <w:tabs>
        <w:tab w:val="num" w:pos="720"/>
      </w:tabs>
      <w:ind w:left="720" w:hanging="720"/>
    </w:pPr>
  </w:style>
  <w:style w:type="paragraph" w:styleId="Rozloendokumentu">
    <w:name w:val="Document Map"/>
    <w:basedOn w:val="Normln"/>
    <w:semiHidden/>
    <w:pPr>
      <w:shd w:val="clear" w:color="auto" w:fill="000080"/>
    </w:pPr>
    <w:rPr>
      <w:rFonts w:ascii="Tahoma" w:hAnsi="Tahoma" w:cs="Tahoma"/>
    </w:rPr>
  </w:style>
  <w:style w:type="paragraph" w:styleId="Obsah1">
    <w:name w:val="toc 1"/>
    <w:basedOn w:val="Normln"/>
    <w:next w:val="Normln"/>
    <w:autoRedefine/>
    <w:uiPriority w:val="39"/>
    <w:pPr>
      <w:spacing w:before="120"/>
      <w:jc w:val="left"/>
    </w:pPr>
    <w:rPr>
      <w:b/>
      <w:bCs/>
      <w:caps/>
    </w:rPr>
  </w:style>
  <w:style w:type="paragraph" w:styleId="Obsah2">
    <w:name w:val="toc 2"/>
    <w:basedOn w:val="Normln"/>
    <w:next w:val="Normln"/>
    <w:autoRedefine/>
    <w:uiPriority w:val="39"/>
    <w:pPr>
      <w:tabs>
        <w:tab w:val="left" w:pos="720"/>
        <w:tab w:val="right" w:leader="dot" w:pos="9062"/>
      </w:tabs>
      <w:spacing w:before="120"/>
      <w:jc w:val="left"/>
    </w:pPr>
    <w:rPr>
      <w:b/>
      <w:bCs/>
      <w:noProof/>
      <w:sz w:val="20"/>
      <w:szCs w:val="20"/>
    </w:rPr>
  </w:style>
  <w:style w:type="character" w:styleId="Odkaznakoment">
    <w:name w:val="annotation reference"/>
    <w:semiHidden/>
    <w:rPr>
      <w:sz w:val="16"/>
      <w:szCs w:val="16"/>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Textkomente">
    <w:name w:val="annotation text"/>
    <w:basedOn w:val="Normln"/>
    <w:link w:val="TextkomenteChar"/>
    <w:semiHidden/>
    <w:rPr>
      <w:sz w:val="20"/>
      <w:szCs w:val="20"/>
    </w:rPr>
  </w:style>
  <w:style w:type="paragraph" w:styleId="Zkladntextodsazen2">
    <w:name w:val="Body Text Indent 2"/>
    <w:basedOn w:val="Normln"/>
    <w:pPr>
      <w:ind w:left="567" w:hanging="283"/>
    </w:pPr>
  </w:style>
  <w:style w:type="paragraph" w:styleId="Zkladntext">
    <w:name w:val="Body Text"/>
    <w:basedOn w:val="Normln"/>
    <w:pPr>
      <w:spacing w:after="120"/>
      <w:jc w:val="left"/>
    </w:pPr>
    <w:rPr>
      <w:sz w:val="20"/>
      <w:szCs w:val="20"/>
    </w:rPr>
  </w:style>
  <w:style w:type="paragraph" w:styleId="Seznamsodrkami3">
    <w:name w:val="List Bullet 3"/>
    <w:basedOn w:val="Normln"/>
    <w:autoRedefine/>
    <w:pPr>
      <w:spacing w:line="200" w:lineRule="atLeast"/>
      <w:ind w:right="142"/>
    </w:pPr>
  </w:style>
  <w:style w:type="paragraph" w:styleId="Nzev">
    <w:name w:val="Title"/>
    <w:basedOn w:val="Normln"/>
    <w:qFormat/>
    <w:pPr>
      <w:jc w:val="center"/>
    </w:pPr>
    <w:rPr>
      <w:b/>
      <w:bCs/>
    </w:rPr>
  </w:style>
  <w:style w:type="paragraph" w:customStyle="1" w:styleId="NormlnNormlnA">
    <w:name w:val="Normální.Normální A"/>
    <w:pPr>
      <w:jc w:val="both"/>
    </w:pPr>
    <w:rPr>
      <w:sz w:val="24"/>
      <w:szCs w:val="24"/>
      <w:lang w:val="en-GB"/>
    </w:rPr>
  </w:style>
  <w:style w:type="paragraph" w:customStyle="1" w:styleId="NormlnC">
    <w:name w:val="Normální C"/>
    <w:basedOn w:val="NormlnNormlnA"/>
    <w:rPr>
      <w:lang w:val="cs-CZ"/>
    </w:rPr>
  </w:style>
  <w:style w:type="paragraph" w:customStyle="1" w:styleId="vbor">
    <w:name w:val="výbor"/>
    <w:basedOn w:val="Normln"/>
    <w:rPr>
      <w:rFonts w:ascii="Arial" w:hAnsi="Arial" w:cs="Arial"/>
    </w:rPr>
  </w:style>
  <w:style w:type="paragraph" w:styleId="Seznam">
    <w:name w:val="List"/>
    <w:basedOn w:val="Normln"/>
    <w:pPr>
      <w:ind w:left="283" w:hanging="283"/>
      <w:jc w:val="left"/>
    </w:pPr>
    <w:rPr>
      <w:rFonts w:ascii="Arial" w:hAnsi="Arial" w:cs="Arial"/>
    </w:rPr>
  </w:style>
  <w:style w:type="paragraph" w:styleId="Zkladntextodsazen">
    <w:name w:val="Body Text Indent"/>
    <w:basedOn w:val="Normln"/>
    <w:pPr>
      <w:ind w:left="709"/>
    </w:pPr>
    <w:rPr>
      <w:rFonts w:ascii="Arial" w:hAnsi="Arial" w:cs="Arial"/>
      <w:sz w:val="20"/>
      <w:szCs w:val="20"/>
      <w:lang w:val="en-GB"/>
    </w:rPr>
  </w:style>
  <w:style w:type="character" w:styleId="Hypertextovodkaz">
    <w:name w:val="Hyperlink"/>
    <w:uiPriority w:val="99"/>
    <w:rPr>
      <w:color w:val="0000FF"/>
      <w:u w:val="single"/>
    </w:rPr>
  </w:style>
  <w:style w:type="paragraph" w:styleId="Prosttext">
    <w:name w:val="Plain Text"/>
    <w:basedOn w:val="Normln"/>
    <w:pPr>
      <w:widowControl w:val="0"/>
      <w:jc w:val="left"/>
    </w:pPr>
    <w:rPr>
      <w:rFonts w:ascii="Courier New" w:hAnsi="Courier New" w:cs="Courier New"/>
      <w:sz w:val="20"/>
      <w:szCs w:val="20"/>
    </w:rPr>
  </w:style>
  <w:style w:type="paragraph" w:styleId="Textpoznpodarou">
    <w:name w:val="footnote text"/>
    <w:basedOn w:val="Normln"/>
    <w:semiHidden/>
    <w:pPr>
      <w:jc w:val="left"/>
    </w:pPr>
    <w:rPr>
      <w:sz w:val="20"/>
      <w:szCs w:val="20"/>
      <w:lang w:val="en-GB"/>
    </w:rPr>
  </w:style>
  <w:style w:type="character" w:styleId="Znakapoznpodarou">
    <w:name w:val="footnote reference"/>
    <w:semiHidden/>
    <w:rPr>
      <w:vertAlign w:val="superscript"/>
    </w:rPr>
  </w:style>
  <w:style w:type="paragraph" w:styleId="Zkladntextodsazen3">
    <w:name w:val="Body Text Indent 3"/>
    <w:basedOn w:val="Normln"/>
    <w:pPr>
      <w:ind w:left="708"/>
    </w:pPr>
    <w:rPr>
      <w:rFonts w:ascii="Arial" w:hAnsi="Arial" w:cs="Arial"/>
      <w:sz w:val="20"/>
      <w:szCs w:val="20"/>
      <w:lang w:val="en-GB"/>
    </w:rPr>
  </w:style>
  <w:style w:type="paragraph" w:styleId="Seznamsodrkami2">
    <w:name w:val="List Bullet 2"/>
    <w:basedOn w:val="Normln"/>
    <w:autoRedefine/>
    <w:pPr>
      <w:ind w:left="284"/>
    </w:pPr>
    <w:rPr>
      <w:sz w:val="20"/>
      <w:szCs w:val="20"/>
    </w:rPr>
  </w:style>
  <w:style w:type="paragraph" w:customStyle="1" w:styleId="Popisobr">
    <w:name w:val="Popis obr"/>
    <w:basedOn w:val="Normln"/>
    <w:next w:val="Normln"/>
    <w:pPr>
      <w:spacing w:before="120" w:line="312" w:lineRule="auto"/>
      <w:jc w:val="left"/>
    </w:pPr>
    <w:rPr>
      <w:rFonts w:ascii="Arial" w:hAnsi="Arial" w:cs="Arial"/>
      <w:i/>
      <w:iCs/>
      <w:sz w:val="18"/>
      <w:szCs w:val="18"/>
      <w:lang w:val="en-US"/>
    </w:rPr>
  </w:style>
  <w:style w:type="paragraph" w:styleId="Seznamsodrkami4">
    <w:name w:val="List Bullet 4"/>
    <w:basedOn w:val="Normln"/>
    <w:autoRedefine/>
    <w:pPr>
      <w:ind w:left="851"/>
    </w:pPr>
    <w:rPr>
      <w:sz w:val="20"/>
      <w:szCs w:val="20"/>
    </w:rPr>
  </w:style>
  <w:style w:type="paragraph" w:styleId="Obsah3">
    <w:name w:val="toc 3"/>
    <w:basedOn w:val="Normln"/>
    <w:next w:val="Normln"/>
    <w:autoRedefine/>
    <w:uiPriority w:val="39"/>
    <w:pPr>
      <w:ind w:left="400"/>
      <w:jc w:val="left"/>
    </w:pPr>
    <w:rPr>
      <w:sz w:val="20"/>
      <w:szCs w:val="20"/>
    </w:rPr>
  </w:style>
  <w:style w:type="paragraph" w:styleId="Obsah4">
    <w:name w:val="toc 4"/>
    <w:basedOn w:val="Normln"/>
    <w:next w:val="Normln"/>
    <w:autoRedefine/>
    <w:semiHidden/>
    <w:pPr>
      <w:ind w:left="600"/>
      <w:jc w:val="left"/>
    </w:pPr>
    <w:rPr>
      <w:sz w:val="20"/>
      <w:szCs w:val="20"/>
    </w:rPr>
  </w:style>
  <w:style w:type="paragraph" w:styleId="Obsah5">
    <w:name w:val="toc 5"/>
    <w:basedOn w:val="Normln"/>
    <w:next w:val="Normln"/>
    <w:autoRedefine/>
    <w:semiHidden/>
    <w:pPr>
      <w:ind w:left="800"/>
      <w:jc w:val="left"/>
    </w:pPr>
    <w:rPr>
      <w:sz w:val="20"/>
      <w:szCs w:val="20"/>
    </w:rPr>
  </w:style>
  <w:style w:type="paragraph" w:styleId="Obsah6">
    <w:name w:val="toc 6"/>
    <w:basedOn w:val="Normln"/>
    <w:next w:val="Normln"/>
    <w:autoRedefine/>
    <w:semiHidden/>
    <w:pPr>
      <w:ind w:left="1000"/>
      <w:jc w:val="left"/>
    </w:pPr>
    <w:rPr>
      <w:sz w:val="20"/>
      <w:szCs w:val="20"/>
    </w:rPr>
  </w:style>
  <w:style w:type="paragraph" w:styleId="Obsah7">
    <w:name w:val="toc 7"/>
    <w:basedOn w:val="Normln"/>
    <w:next w:val="Normln"/>
    <w:autoRedefine/>
    <w:semiHidden/>
    <w:pPr>
      <w:ind w:left="1200"/>
      <w:jc w:val="left"/>
    </w:pPr>
    <w:rPr>
      <w:sz w:val="20"/>
      <w:szCs w:val="20"/>
    </w:rPr>
  </w:style>
  <w:style w:type="paragraph" w:styleId="Obsah8">
    <w:name w:val="toc 8"/>
    <w:basedOn w:val="Normln"/>
    <w:next w:val="Normln"/>
    <w:autoRedefine/>
    <w:semiHidden/>
    <w:pPr>
      <w:ind w:left="1400"/>
      <w:jc w:val="left"/>
    </w:pPr>
    <w:rPr>
      <w:sz w:val="20"/>
      <w:szCs w:val="20"/>
    </w:rPr>
  </w:style>
  <w:style w:type="paragraph" w:styleId="Obsah9">
    <w:name w:val="toc 9"/>
    <w:basedOn w:val="Normln"/>
    <w:next w:val="Normln"/>
    <w:autoRedefine/>
    <w:semiHidden/>
    <w:pPr>
      <w:ind w:left="1600"/>
      <w:jc w:val="left"/>
    </w:pPr>
    <w:rPr>
      <w:sz w:val="20"/>
      <w:szCs w:val="20"/>
    </w:rPr>
  </w:style>
  <w:style w:type="paragraph" w:styleId="Zkladntext3">
    <w:name w:val="Body Text 3"/>
    <w:basedOn w:val="Normln"/>
    <w:pPr>
      <w:spacing w:after="120"/>
    </w:pPr>
    <w:rPr>
      <w:sz w:val="16"/>
      <w:szCs w:val="16"/>
    </w:rPr>
  </w:style>
  <w:style w:type="paragraph" w:customStyle="1" w:styleId="Normln0">
    <w:name w:val="Norm‡ln’"/>
    <w:pPr>
      <w:widowControl w:val="0"/>
      <w:autoSpaceDE w:val="0"/>
      <w:autoSpaceDN w:val="0"/>
    </w:pPr>
  </w:style>
  <w:style w:type="character" w:customStyle="1" w:styleId="Standardnp">
    <w:name w:val="Standardn’ p"/>
    <w:rPr>
      <w:sz w:val="20"/>
      <w:szCs w:val="20"/>
    </w:rPr>
  </w:style>
  <w:style w:type="paragraph" w:customStyle="1" w:styleId="Zhlav0">
    <w:name w:val="Z‡hlav’"/>
    <w:basedOn w:val="Normln0"/>
    <w:pPr>
      <w:tabs>
        <w:tab w:val="center" w:pos="4536"/>
        <w:tab w:val="right" w:pos="9072"/>
      </w:tabs>
    </w:pPr>
  </w:style>
  <w:style w:type="paragraph" w:customStyle="1" w:styleId="Zpat0">
    <w:name w:val="Z‡pat’"/>
    <w:basedOn w:val="Normln0"/>
    <w:pPr>
      <w:tabs>
        <w:tab w:val="center" w:pos="4536"/>
        <w:tab w:val="right" w:pos="9072"/>
      </w:tabs>
    </w:pPr>
  </w:style>
  <w:style w:type="character" w:customStyle="1" w:styleId="slostrnky0">
    <w:name w:val="?’slo str‡nky"/>
    <w:basedOn w:val="Standardnp"/>
    <w:rPr>
      <w:sz w:val="20"/>
      <w:szCs w:val="20"/>
    </w:rPr>
  </w:style>
  <w:style w:type="paragraph" w:customStyle="1" w:styleId="NormlnNormlnA0">
    <w:name w:val="Norm‡ln’.Norm‡ln’ A"/>
    <w:pPr>
      <w:widowControl w:val="0"/>
      <w:autoSpaceDE w:val="0"/>
      <w:autoSpaceDN w:val="0"/>
      <w:jc w:val="both"/>
    </w:pPr>
    <w:rPr>
      <w:sz w:val="24"/>
      <w:szCs w:val="24"/>
    </w:rPr>
  </w:style>
  <w:style w:type="paragraph" w:customStyle="1" w:styleId="NormlnC0">
    <w:name w:val="Norm‡ln’ C"/>
    <w:basedOn w:val="NormlnNormlnA0"/>
  </w:style>
  <w:style w:type="paragraph" w:customStyle="1" w:styleId="Normlnsmezerou">
    <w:name w:val="Norm‡ln’ s mezerou"/>
    <w:basedOn w:val="Normln0"/>
    <w:pPr>
      <w:spacing w:before="60" w:after="60"/>
      <w:jc w:val="both"/>
    </w:pPr>
    <w:rPr>
      <w:sz w:val="24"/>
      <w:szCs w:val="24"/>
    </w:rPr>
  </w:style>
  <w:style w:type="paragraph" w:customStyle="1" w:styleId="Zkladntextodsazen0">
    <w:name w:val="Z‡kladn’ text odsazen?"/>
    <w:basedOn w:val="Normln0"/>
    <w:pPr>
      <w:ind w:left="1134" w:hanging="425"/>
      <w:jc w:val="both"/>
    </w:pPr>
    <w:rPr>
      <w:sz w:val="24"/>
      <w:szCs w:val="24"/>
    </w:rPr>
  </w:style>
  <w:style w:type="paragraph" w:customStyle="1" w:styleId="Zkladntextodsazen20">
    <w:name w:val="Z‡kladn’ text odsazen? 2"/>
    <w:basedOn w:val="Normln0"/>
    <w:pPr>
      <w:ind w:left="1418" w:hanging="1417"/>
      <w:jc w:val="both"/>
    </w:pPr>
    <w:rPr>
      <w:sz w:val="24"/>
      <w:szCs w:val="24"/>
    </w:rPr>
  </w:style>
  <w:style w:type="paragraph" w:customStyle="1" w:styleId="Zkladntextodsazen30">
    <w:name w:val="Z‡kladn’ text odsazen? 3"/>
    <w:basedOn w:val="Normln0"/>
    <w:pPr>
      <w:ind w:left="706"/>
      <w:jc w:val="both"/>
    </w:pPr>
    <w:rPr>
      <w:sz w:val="24"/>
      <w:szCs w:val="24"/>
    </w:rPr>
  </w:style>
  <w:style w:type="paragraph" w:customStyle="1" w:styleId="Odrka10">
    <w:name w:val="Odr‡?ka1"/>
    <w:basedOn w:val="Normln0"/>
    <w:pPr>
      <w:spacing w:before="120" w:after="120"/>
      <w:ind w:left="709" w:hanging="709"/>
    </w:pPr>
    <w:rPr>
      <w:sz w:val="22"/>
      <w:szCs w:val="22"/>
    </w:rPr>
  </w:style>
  <w:style w:type="paragraph" w:customStyle="1" w:styleId="Odrka2">
    <w:name w:val="Odr‡?ka2"/>
    <w:basedOn w:val="Odrka10"/>
    <w:pPr>
      <w:spacing w:before="60" w:after="0"/>
      <w:ind w:left="284" w:hanging="284"/>
    </w:pPr>
  </w:style>
  <w:style w:type="paragraph" w:customStyle="1" w:styleId="Psmeno">
    <w:name w:val="P’smeno"/>
    <w:basedOn w:val="Normln0"/>
    <w:pPr>
      <w:keepLines/>
      <w:spacing w:after="120"/>
      <w:ind w:left="567" w:hanging="425"/>
    </w:pPr>
    <w:rPr>
      <w:i/>
      <w:iCs/>
      <w:sz w:val="24"/>
      <w:szCs w:val="24"/>
    </w:rPr>
  </w:style>
  <w:style w:type="paragraph" w:customStyle="1" w:styleId="Zkladntext0">
    <w:name w:val="Z‡kladn’ text"/>
    <w:basedOn w:val="Normln0"/>
    <w:pPr>
      <w:ind w:right="-1"/>
    </w:pPr>
    <w:rPr>
      <w:kern w:val="24"/>
      <w:sz w:val="24"/>
      <w:szCs w:val="24"/>
    </w:rPr>
  </w:style>
  <w:style w:type="paragraph" w:customStyle="1" w:styleId="Nzev0">
    <w:name w:val="N‡zev"/>
    <w:basedOn w:val="Normln0"/>
    <w:pPr>
      <w:jc w:val="center"/>
    </w:pPr>
    <w:rPr>
      <w:b/>
      <w:bCs/>
      <w:sz w:val="28"/>
      <w:szCs w:val="28"/>
    </w:rPr>
  </w:style>
  <w:style w:type="paragraph" w:customStyle="1" w:styleId="Odrka3">
    <w:name w:val="Odr‡?ka3"/>
    <w:basedOn w:val="Normln0"/>
    <w:pPr>
      <w:ind w:left="568" w:hanging="284"/>
      <w:jc w:val="both"/>
    </w:pPr>
    <w:rPr>
      <w:sz w:val="24"/>
      <w:szCs w:val="24"/>
    </w:rPr>
  </w:style>
  <w:style w:type="paragraph" w:customStyle="1" w:styleId="Textpoznpodarou0">
    <w:name w:val="Text pozn. pod ?arou"/>
    <w:basedOn w:val="Normln0"/>
  </w:style>
  <w:style w:type="character" w:customStyle="1" w:styleId="Znakapoznpodarou0">
    <w:name w:val="Zna?ka pozn. pod ?arou"/>
    <w:rPr>
      <w:sz w:val="20"/>
      <w:szCs w:val="20"/>
      <w:vertAlign w:val="superscript"/>
    </w:rPr>
  </w:style>
  <w:style w:type="paragraph" w:customStyle="1" w:styleId="Zkladntext2">
    <w:name w:val="Z‡kladn’ text 2"/>
    <w:basedOn w:val="Normln0"/>
    <w:pPr>
      <w:spacing w:before="120"/>
      <w:jc w:val="both"/>
    </w:pPr>
  </w:style>
  <w:style w:type="character" w:customStyle="1" w:styleId="Hypertextovodkaz0">
    <w:name w:val="Hypertextov? odkaz"/>
    <w:rPr>
      <w:color w:val="0000FF"/>
      <w:sz w:val="20"/>
      <w:szCs w:val="20"/>
      <w:u w:val="single"/>
    </w:rPr>
  </w:style>
  <w:style w:type="paragraph" w:customStyle="1" w:styleId="Zkladntext30">
    <w:name w:val="Z‡kladn’ text 3"/>
    <w:basedOn w:val="Normln0"/>
    <w:pPr>
      <w:jc w:val="both"/>
    </w:pPr>
    <w:rPr>
      <w:sz w:val="22"/>
      <w:szCs w:val="22"/>
    </w:rPr>
  </w:style>
  <w:style w:type="character" w:customStyle="1" w:styleId="Sledovanodkaz">
    <w:name w:val="Sledovan? odkaz"/>
    <w:rPr>
      <w:color w:val="800080"/>
      <w:sz w:val="20"/>
      <w:szCs w:val="20"/>
      <w:u w:val="single"/>
    </w:rPr>
  </w:style>
  <w:style w:type="paragraph" w:customStyle="1" w:styleId="NormlnNorm1lnA">
    <w:name w:val="Normální.Norm·1lní A"/>
    <w:pPr>
      <w:widowControl w:val="0"/>
      <w:autoSpaceDE w:val="0"/>
      <w:autoSpaceDN w:val="0"/>
      <w:jc w:val="both"/>
    </w:pPr>
    <w:rPr>
      <w:sz w:val="24"/>
      <w:szCs w:val="24"/>
      <w:lang w:val="en-GB"/>
    </w:rPr>
  </w:style>
  <w:style w:type="paragraph" w:styleId="Hlavikaobsahu">
    <w:name w:val="toa heading"/>
    <w:basedOn w:val="Normln"/>
    <w:next w:val="Normln"/>
    <w:semiHidden/>
    <w:pPr>
      <w:autoSpaceDE w:val="0"/>
      <w:autoSpaceDN w:val="0"/>
      <w:spacing w:before="120"/>
    </w:pPr>
    <w:rPr>
      <w:b/>
      <w:bCs/>
    </w:rPr>
  </w:style>
  <w:style w:type="paragraph" w:customStyle="1" w:styleId="Normlnsmezerou0">
    <w:name w:val="Normální s mezerou"/>
    <w:basedOn w:val="Normln"/>
    <w:pPr>
      <w:widowControl w:val="0"/>
      <w:autoSpaceDE w:val="0"/>
      <w:autoSpaceDN w:val="0"/>
      <w:spacing w:before="60" w:after="60"/>
      <w:ind w:firstLine="709"/>
    </w:pPr>
    <w:rPr>
      <w:rFonts w:ascii="Arial" w:hAnsi="Arial" w:cs="Arial"/>
    </w:rPr>
  </w:style>
  <w:style w:type="paragraph" w:customStyle="1" w:styleId="Odrka1">
    <w:name w:val="Odrážka 1"/>
    <w:basedOn w:val="Normln"/>
    <w:pPr>
      <w:numPr>
        <w:numId w:val="6"/>
      </w:numPr>
      <w:autoSpaceDE w:val="0"/>
      <w:autoSpaceDN w:val="0"/>
      <w:spacing w:before="120"/>
      <w:jc w:val="left"/>
    </w:pPr>
    <w:rPr>
      <w:sz w:val="22"/>
      <w:szCs w:val="22"/>
    </w:rPr>
  </w:style>
  <w:style w:type="paragraph" w:customStyle="1" w:styleId="xl24">
    <w:name w:val="xl24"/>
    <w:basedOn w:val="Normln"/>
    <w:pPr>
      <w:pBdr>
        <w:top w:val="single" w:sz="4" w:space="0" w:color="auto"/>
        <w:left w:val="single" w:sz="4" w:space="0" w:color="auto"/>
        <w:bottom w:val="single" w:sz="4" w:space="0" w:color="auto"/>
        <w:right w:val="single" w:sz="4" w:space="0" w:color="auto"/>
      </w:pBdr>
      <w:autoSpaceDE w:val="0"/>
      <w:autoSpaceDN w:val="0"/>
      <w:spacing w:before="100" w:after="100"/>
      <w:jc w:val="left"/>
    </w:pPr>
    <w:rPr>
      <w:b/>
      <w:bCs/>
    </w:rPr>
  </w:style>
  <w:style w:type="paragraph" w:customStyle="1" w:styleId="xl25">
    <w:name w:val="xl25"/>
    <w:basedOn w:val="Normln"/>
    <w:pPr>
      <w:pBdr>
        <w:top w:val="single" w:sz="8" w:space="0" w:color="auto"/>
        <w:left w:val="single" w:sz="8" w:space="0" w:color="auto"/>
        <w:bottom w:val="single" w:sz="4" w:space="0" w:color="auto"/>
        <w:right w:val="single" w:sz="4" w:space="0" w:color="auto"/>
      </w:pBdr>
      <w:autoSpaceDE w:val="0"/>
      <w:autoSpaceDN w:val="0"/>
      <w:spacing w:before="100" w:after="100"/>
      <w:jc w:val="left"/>
    </w:pPr>
    <w:rPr>
      <w:b/>
      <w:bCs/>
    </w:rPr>
  </w:style>
  <w:style w:type="paragraph" w:customStyle="1" w:styleId="xl26">
    <w:name w:val="xl26"/>
    <w:basedOn w:val="Normln"/>
    <w:pPr>
      <w:pBdr>
        <w:top w:val="single" w:sz="8" w:space="0" w:color="auto"/>
        <w:left w:val="single" w:sz="4" w:space="0" w:color="auto"/>
        <w:bottom w:val="single" w:sz="4" w:space="0" w:color="auto"/>
        <w:right w:val="single" w:sz="4" w:space="0" w:color="auto"/>
      </w:pBdr>
      <w:autoSpaceDE w:val="0"/>
      <w:autoSpaceDN w:val="0"/>
      <w:spacing w:before="100" w:after="100"/>
      <w:jc w:val="left"/>
    </w:pPr>
    <w:rPr>
      <w:b/>
      <w:bCs/>
    </w:rPr>
  </w:style>
  <w:style w:type="paragraph" w:customStyle="1" w:styleId="xl27">
    <w:name w:val="xl27"/>
    <w:basedOn w:val="Normln"/>
    <w:pPr>
      <w:pBdr>
        <w:top w:val="single" w:sz="4" w:space="0" w:color="auto"/>
        <w:left w:val="single" w:sz="8" w:space="0" w:color="auto"/>
        <w:bottom w:val="single" w:sz="4" w:space="0" w:color="auto"/>
        <w:right w:val="single" w:sz="4" w:space="0" w:color="auto"/>
      </w:pBdr>
      <w:autoSpaceDE w:val="0"/>
      <w:autoSpaceDN w:val="0"/>
      <w:spacing w:before="100" w:after="100"/>
      <w:jc w:val="left"/>
    </w:pPr>
    <w:rPr>
      <w:b/>
      <w:bCs/>
    </w:rPr>
  </w:style>
  <w:style w:type="paragraph" w:customStyle="1" w:styleId="xl28">
    <w:name w:val="xl28"/>
    <w:basedOn w:val="Normln"/>
    <w:pPr>
      <w:pBdr>
        <w:top w:val="single" w:sz="4" w:space="0" w:color="auto"/>
        <w:left w:val="single" w:sz="8" w:space="0" w:color="auto"/>
        <w:bottom w:val="single" w:sz="8" w:space="0" w:color="auto"/>
        <w:right w:val="single" w:sz="4" w:space="0" w:color="auto"/>
      </w:pBdr>
      <w:autoSpaceDE w:val="0"/>
      <w:autoSpaceDN w:val="0"/>
      <w:spacing w:before="100" w:after="100"/>
      <w:jc w:val="left"/>
    </w:pPr>
    <w:rPr>
      <w:b/>
      <w:bCs/>
    </w:rPr>
  </w:style>
  <w:style w:type="paragraph" w:customStyle="1" w:styleId="xl29">
    <w:name w:val="xl29"/>
    <w:basedOn w:val="Normln"/>
    <w:pPr>
      <w:pBdr>
        <w:top w:val="single" w:sz="4" w:space="0" w:color="auto"/>
        <w:left w:val="single" w:sz="4" w:space="0" w:color="auto"/>
        <w:bottom w:val="single" w:sz="8" w:space="0" w:color="auto"/>
        <w:right w:val="single" w:sz="4" w:space="0" w:color="auto"/>
      </w:pBdr>
      <w:autoSpaceDE w:val="0"/>
      <w:autoSpaceDN w:val="0"/>
      <w:spacing w:before="100" w:after="100"/>
      <w:jc w:val="left"/>
    </w:pPr>
    <w:rPr>
      <w:b/>
      <w:bCs/>
    </w:rPr>
  </w:style>
  <w:style w:type="paragraph" w:customStyle="1" w:styleId="xl30">
    <w:name w:val="xl30"/>
    <w:basedOn w:val="Normln"/>
    <w:pPr>
      <w:pBdr>
        <w:top w:val="single" w:sz="4" w:space="0" w:color="auto"/>
        <w:left w:val="single" w:sz="4" w:space="0" w:color="auto"/>
        <w:bottom w:val="single" w:sz="4" w:space="0" w:color="auto"/>
        <w:right w:val="single" w:sz="4" w:space="0" w:color="auto"/>
      </w:pBdr>
      <w:autoSpaceDE w:val="0"/>
      <w:autoSpaceDN w:val="0"/>
      <w:spacing w:before="100" w:after="100"/>
      <w:jc w:val="center"/>
    </w:pPr>
    <w:rPr>
      <w:b/>
      <w:bCs/>
    </w:rPr>
  </w:style>
  <w:style w:type="paragraph" w:customStyle="1" w:styleId="xl31">
    <w:name w:val="xl31"/>
    <w:basedOn w:val="Normln"/>
    <w:pPr>
      <w:pBdr>
        <w:top w:val="single" w:sz="8" w:space="0" w:color="auto"/>
        <w:left w:val="single" w:sz="4" w:space="0" w:color="auto"/>
        <w:bottom w:val="single" w:sz="4" w:space="0" w:color="auto"/>
        <w:right w:val="single" w:sz="4" w:space="0" w:color="auto"/>
      </w:pBdr>
      <w:autoSpaceDE w:val="0"/>
      <w:autoSpaceDN w:val="0"/>
      <w:spacing w:before="100" w:after="100"/>
      <w:jc w:val="center"/>
    </w:pPr>
    <w:rPr>
      <w:b/>
      <w:bCs/>
    </w:rPr>
  </w:style>
  <w:style w:type="paragraph" w:customStyle="1" w:styleId="xl32">
    <w:name w:val="xl32"/>
    <w:basedOn w:val="Normln"/>
    <w:pPr>
      <w:pBdr>
        <w:top w:val="single" w:sz="4" w:space="0" w:color="auto"/>
        <w:left w:val="single" w:sz="4" w:space="0" w:color="auto"/>
        <w:bottom w:val="single" w:sz="8" w:space="0" w:color="auto"/>
        <w:right w:val="single" w:sz="4" w:space="0" w:color="auto"/>
      </w:pBdr>
      <w:autoSpaceDE w:val="0"/>
      <w:autoSpaceDN w:val="0"/>
      <w:spacing w:before="100" w:after="100"/>
      <w:jc w:val="center"/>
    </w:pPr>
    <w:rPr>
      <w:b/>
      <w:bCs/>
    </w:rPr>
  </w:style>
  <w:style w:type="paragraph" w:customStyle="1" w:styleId="xl33">
    <w:name w:val="xl33"/>
    <w:basedOn w:val="Normln"/>
    <w:pPr>
      <w:pBdr>
        <w:top w:val="single" w:sz="8" w:space="0" w:color="auto"/>
        <w:left w:val="single" w:sz="8" w:space="0" w:color="auto"/>
        <w:right w:val="single" w:sz="4" w:space="0" w:color="auto"/>
      </w:pBdr>
      <w:autoSpaceDE w:val="0"/>
      <w:autoSpaceDN w:val="0"/>
      <w:spacing w:before="100" w:after="100"/>
      <w:jc w:val="left"/>
    </w:pPr>
    <w:rPr>
      <w:b/>
      <w:bCs/>
    </w:rPr>
  </w:style>
  <w:style w:type="paragraph" w:customStyle="1" w:styleId="xl34">
    <w:name w:val="xl34"/>
    <w:basedOn w:val="Normln"/>
    <w:pPr>
      <w:pBdr>
        <w:top w:val="single" w:sz="8" w:space="0" w:color="auto"/>
        <w:left w:val="single" w:sz="4" w:space="0" w:color="auto"/>
        <w:right w:val="single" w:sz="4" w:space="0" w:color="auto"/>
      </w:pBdr>
      <w:autoSpaceDE w:val="0"/>
      <w:autoSpaceDN w:val="0"/>
      <w:spacing w:before="100" w:after="100"/>
      <w:jc w:val="left"/>
    </w:pPr>
    <w:rPr>
      <w:b/>
      <w:bCs/>
    </w:rPr>
  </w:style>
  <w:style w:type="paragraph" w:customStyle="1" w:styleId="xl35">
    <w:name w:val="xl35"/>
    <w:basedOn w:val="Normln"/>
    <w:pPr>
      <w:pBdr>
        <w:top w:val="single" w:sz="8" w:space="0" w:color="auto"/>
        <w:left w:val="single" w:sz="4" w:space="0" w:color="auto"/>
        <w:right w:val="single" w:sz="4" w:space="0" w:color="auto"/>
      </w:pBdr>
      <w:autoSpaceDE w:val="0"/>
      <w:autoSpaceDN w:val="0"/>
      <w:spacing w:before="100" w:after="100"/>
      <w:jc w:val="center"/>
    </w:pPr>
    <w:rPr>
      <w:b/>
      <w:bCs/>
    </w:rPr>
  </w:style>
  <w:style w:type="paragraph" w:customStyle="1" w:styleId="xl36">
    <w:name w:val="xl36"/>
    <w:basedOn w:val="Normln"/>
    <w:pPr>
      <w:pBdr>
        <w:top w:val="single" w:sz="8" w:space="0" w:color="auto"/>
        <w:left w:val="single" w:sz="4" w:space="0" w:color="auto"/>
        <w:right w:val="single" w:sz="8" w:space="0" w:color="auto"/>
      </w:pBdr>
      <w:autoSpaceDE w:val="0"/>
      <w:autoSpaceDN w:val="0"/>
      <w:spacing w:before="100" w:after="100"/>
      <w:jc w:val="center"/>
    </w:pPr>
    <w:rPr>
      <w:b/>
      <w:bCs/>
    </w:rPr>
  </w:style>
  <w:style w:type="paragraph" w:customStyle="1" w:styleId="xl37">
    <w:name w:val="xl37"/>
    <w:basedOn w:val="Normln"/>
    <w:pPr>
      <w:pBdr>
        <w:top w:val="single" w:sz="8" w:space="0" w:color="auto"/>
        <w:left w:val="single" w:sz="4" w:space="0" w:color="auto"/>
        <w:bottom w:val="single" w:sz="4" w:space="0" w:color="auto"/>
        <w:right w:val="single" w:sz="8" w:space="0" w:color="auto"/>
      </w:pBdr>
      <w:autoSpaceDE w:val="0"/>
      <w:autoSpaceDN w:val="0"/>
      <w:spacing w:before="100" w:after="100"/>
      <w:jc w:val="center"/>
    </w:pPr>
    <w:rPr>
      <w:b/>
      <w:bCs/>
    </w:rPr>
  </w:style>
  <w:style w:type="paragraph" w:customStyle="1" w:styleId="xl38">
    <w:name w:val="xl38"/>
    <w:basedOn w:val="Normln"/>
    <w:pPr>
      <w:pBdr>
        <w:top w:val="single" w:sz="4" w:space="0" w:color="auto"/>
        <w:left w:val="single" w:sz="4" w:space="0" w:color="auto"/>
        <w:bottom w:val="single" w:sz="4" w:space="0" w:color="auto"/>
        <w:right w:val="single" w:sz="8" w:space="0" w:color="auto"/>
      </w:pBdr>
      <w:autoSpaceDE w:val="0"/>
      <w:autoSpaceDN w:val="0"/>
      <w:spacing w:before="100" w:after="100"/>
      <w:jc w:val="center"/>
    </w:pPr>
    <w:rPr>
      <w:b/>
      <w:bCs/>
    </w:rPr>
  </w:style>
  <w:style w:type="paragraph" w:customStyle="1" w:styleId="xl39">
    <w:name w:val="xl39"/>
    <w:basedOn w:val="Normln"/>
    <w:pPr>
      <w:pBdr>
        <w:top w:val="single" w:sz="4" w:space="0" w:color="auto"/>
        <w:left w:val="single" w:sz="4" w:space="0" w:color="auto"/>
        <w:bottom w:val="single" w:sz="8" w:space="0" w:color="auto"/>
        <w:right w:val="single" w:sz="8" w:space="0" w:color="auto"/>
      </w:pBdr>
      <w:autoSpaceDE w:val="0"/>
      <w:autoSpaceDN w:val="0"/>
      <w:spacing w:before="100" w:after="100"/>
      <w:jc w:val="center"/>
    </w:pPr>
    <w:rPr>
      <w:b/>
      <w:bCs/>
    </w:rPr>
  </w:style>
  <w:style w:type="paragraph" w:customStyle="1" w:styleId="xl40">
    <w:name w:val="xl40"/>
    <w:basedOn w:val="Normln"/>
    <w:pPr>
      <w:pBdr>
        <w:left w:val="single" w:sz="8" w:space="0" w:color="auto"/>
        <w:right w:val="single" w:sz="4" w:space="0" w:color="auto"/>
      </w:pBdr>
      <w:autoSpaceDE w:val="0"/>
      <w:autoSpaceDN w:val="0"/>
      <w:spacing w:before="100" w:after="100"/>
      <w:jc w:val="left"/>
    </w:pPr>
    <w:rPr>
      <w:b/>
      <w:bCs/>
    </w:rPr>
  </w:style>
  <w:style w:type="paragraph" w:customStyle="1" w:styleId="xl41">
    <w:name w:val="xl41"/>
    <w:basedOn w:val="Normln"/>
    <w:pPr>
      <w:pBdr>
        <w:left w:val="single" w:sz="4" w:space="0" w:color="auto"/>
        <w:right w:val="single" w:sz="4" w:space="0" w:color="auto"/>
      </w:pBdr>
      <w:autoSpaceDE w:val="0"/>
      <w:autoSpaceDN w:val="0"/>
      <w:spacing w:before="100" w:after="100"/>
      <w:jc w:val="center"/>
    </w:pPr>
    <w:rPr>
      <w:b/>
      <w:bCs/>
    </w:rPr>
  </w:style>
  <w:style w:type="paragraph" w:customStyle="1" w:styleId="xl42">
    <w:name w:val="xl42"/>
    <w:basedOn w:val="Normln"/>
    <w:pPr>
      <w:pBdr>
        <w:left w:val="single" w:sz="4" w:space="0" w:color="auto"/>
        <w:right w:val="single" w:sz="8" w:space="0" w:color="auto"/>
      </w:pBdr>
      <w:autoSpaceDE w:val="0"/>
      <w:autoSpaceDN w:val="0"/>
      <w:spacing w:before="100" w:after="100"/>
      <w:jc w:val="center"/>
    </w:pPr>
    <w:rPr>
      <w:b/>
      <w:bCs/>
    </w:rPr>
  </w:style>
  <w:style w:type="paragraph" w:customStyle="1" w:styleId="xl43">
    <w:name w:val="xl43"/>
    <w:basedOn w:val="Normln"/>
    <w:pPr>
      <w:pBdr>
        <w:left w:val="single" w:sz="4" w:space="0" w:color="auto"/>
        <w:bottom w:val="single" w:sz="8" w:space="0" w:color="auto"/>
        <w:right w:val="single" w:sz="4" w:space="0" w:color="auto"/>
      </w:pBdr>
      <w:autoSpaceDE w:val="0"/>
      <w:autoSpaceDN w:val="0"/>
      <w:spacing w:before="100" w:after="100"/>
      <w:jc w:val="right"/>
    </w:pPr>
    <w:rPr>
      <w:i/>
      <w:iCs/>
    </w:rPr>
  </w:style>
  <w:style w:type="paragraph" w:customStyle="1" w:styleId="xl44">
    <w:name w:val="xl44"/>
    <w:basedOn w:val="Normln"/>
    <w:pPr>
      <w:pBdr>
        <w:top w:val="single" w:sz="8" w:space="0" w:color="auto"/>
        <w:left w:val="single" w:sz="4" w:space="0" w:color="auto"/>
      </w:pBdr>
      <w:autoSpaceDE w:val="0"/>
      <w:autoSpaceDN w:val="0"/>
      <w:spacing w:before="100" w:after="100"/>
      <w:jc w:val="center"/>
    </w:pPr>
    <w:rPr>
      <w:b/>
      <w:bCs/>
    </w:rPr>
  </w:style>
  <w:style w:type="paragraph" w:customStyle="1" w:styleId="xl45">
    <w:name w:val="xl45"/>
    <w:basedOn w:val="Normln"/>
    <w:pPr>
      <w:pBdr>
        <w:left w:val="single" w:sz="4" w:space="0" w:color="auto"/>
      </w:pBdr>
      <w:autoSpaceDE w:val="0"/>
      <w:autoSpaceDN w:val="0"/>
      <w:spacing w:before="100" w:after="100"/>
      <w:jc w:val="center"/>
    </w:pPr>
    <w:rPr>
      <w:b/>
      <w:bCs/>
    </w:rPr>
  </w:style>
  <w:style w:type="paragraph" w:customStyle="1" w:styleId="xl46">
    <w:name w:val="xl46"/>
    <w:basedOn w:val="Normln"/>
    <w:pPr>
      <w:pBdr>
        <w:top w:val="single" w:sz="4" w:space="0" w:color="auto"/>
        <w:left w:val="single" w:sz="4" w:space="0" w:color="auto"/>
        <w:bottom w:val="single" w:sz="4" w:space="0" w:color="auto"/>
      </w:pBdr>
      <w:autoSpaceDE w:val="0"/>
      <w:autoSpaceDN w:val="0"/>
      <w:spacing w:before="100" w:after="100"/>
      <w:jc w:val="center"/>
    </w:pPr>
    <w:rPr>
      <w:b/>
      <w:bCs/>
    </w:rPr>
  </w:style>
  <w:style w:type="paragraph" w:customStyle="1" w:styleId="NormlnCharCharChar">
    <w:name w:val="Norm‡ln’ Char Char Char"/>
    <w:link w:val="NormlnCharCharCharChar"/>
    <w:pPr>
      <w:widowControl w:val="0"/>
      <w:autoSpaceDE w:val="0"/>
      <w:autoSpaceDN w:val="0"/>
    </w:pPr>
    <w:rPr>
      <w:sz w:val="24"/>
      <w:szCs w:val="24"/>
    </w:rPr>
  </w:style>
  <w:style w:type="character" w:customStyle="1" w:styleId="NormlnCharCharCharChar">
    <w:name w:val="Norm‡ln’ Char Char Char Char"/>
    <w:link w:val="NormlnCharCharChar"/>
    <w:rPr>
      <w:sz w:val="24"/>
      <w:szCs w:val="24"/>
      <w:lang w:val="cs-CZ" w:eastAsia="cs-CZ" w:bidi="ar-SA"/>
    </w:rPr>
  </w:style>
  <w:style w:type="paragraph" w:customStyle="1" w:styleId="NormlnCharCharCharCharChar">
    <w:name w:val="Norm‡ln’ Char Char Char Char Char"/>
    <w:link w:val="NormlnCharCharCharCharCharChar"/>
    <w:rsid w:val="003261E7"/>
    <w:pPr>
      <w:widowControl w:val="0"/>
      <w:autoSpaceDE w:val="0"/>
      <w:autoSpaceDN w:val="0"/>
    </w:pPr>
    <w:rPr>
      <w:sz w:val="24"/>
      <w:szCs w:val="24"/>
    </w:rPr>
  </w:style>
  <w:style w:type="character" w:styleId="Zdraznnintenzivn">
    <w:name w:val="Intense Emphasis"/>
    <w:qFormat/>
    <w:rsid w:val="003261E7"/>
    <w:rPr>
      <w:b/>
      <w:bCs/>
      <w:i/>
      <w:iCs/>
      <w:color w:val="4F81BD"/>
    </w:rPr>
  </w:style>
  <w:style w:type="character" w:customStyle="1" w:styleId="NormlnCharCharCharCharCharChar">
    <w:name w:val="Norm‡ln’ Char Char Char Char Char Char"/>
    <w:link w:val="NormlnCharCharCharCharChar"/>
    <w:rsid w:val="003261E7"/>
    <w:rPr>
      <w:sz w:val="24"/>
      <w:szCs w:val="24"/>
      <w:lang w:val="cs-CZ" w:eastAsia="cs-CZ" w:bidi="ar-SA"/>
    </w:rPr>
  </w:style>
  <w:style w:type="paragraph" w:styleId="Textbubliny">
    <w:name w:val="Balloon Text"/>
    <w:basedOn w:val="Normln"/>
    <w:link w:val="TextbublinyChar"/>
    <w:rsid w:val="00F458CF"/>
    <w:rPr>
      <w:rFonts w:ascii="Tahoma" w:hAnsi="Tahoma" w:cs="Tahoma"/>
      <w:sz w:val="16"/>
      <w:szCs w:val="16"/>
    </w:rPr>
  </w:style>
  <w:style w:type="character" w:customStyle="1" w:styleId="TextbublinyChar">
    <w:name w:val="Text bubliny Char"/>
    <w:link w:val="Textbubliny"/>
    <w:rsid w:val="00F458CF"/>
    <w:rPr>
      <w:rFonts w:ascii="Tahoma" w:hAnsi="Tahoma" w:cs="Tahoma"/>
      <w:sz w:val="16"/>
      <w:szCs w:val="16"/>
    </w:rPr>
  </w:style>
  <w:style w:type="paragraph" w:styleId="Odstavecseseznamem">
    <w:name w:val="List Paragraph"/>
    <w:basedOn w:val="Normln"/>
    <w:uiPriority w:val="34"/>
    <w:qFormat/>
    <w:rsid w:val="0027093A"/>
    <w:pPr>
      <w:spacing w:after="200" w:line="276" w:lineRule="auto"/>
      <w:ind w:left="720"/>
      <w:contextualSpacing/>
      <w:jc w:val="left"/>
    </w:pPr>
    <w:rPr>
      <w:rFonts w:ascii="Calibri" w:eastAsia="Calibri" w:hAnsi="Calibri"/>
      <w:sz w:val="22"/>
      <w:szCs w:val="22"/>
      <w:lang w:eastAsia="en-US"/>
    </w:rPr>
  </w:style>
  <w:style w:type="paragraph" w:styleId="Pedmtkomente">
    <w:name w:val="annotation subject"/>
    <w:basedOn w:val="Textkomente"/>
    <w:next w:val="Textkomente"/>
    <w:link w:val="PedmtkomenteChar"/>
    <w:rsid w:val="00A620E7"/>
    <w:rPr>
      <w:b/>
      <w:bCs/>
    </w:rPr>
  </w:style>
  <w:style w:type="character" w:customStyle="1" w:styleId="TextkomenteChar">
    <w:name w:val="Text komentáře Char"/>
    <w:basedOn w:val="Standardnpsmoodstavce"/>
    <w:link w:val="Textkomente"/>
    <w:semiHidden/>
    <w:rsid w:val="00A620E7"/>
  </w:style>
  <w:style w:type="character" w:customStyle="1" w:styleId="PedmtkomenteChar">
    <w:name w:val="Předmět komentáře Char"/>
    <w:link w:val="Pedmtkomente"/>
    <w:rsid w:val="00A620E7"/>
    <w:rPr>
      <w:b/>
      <w:bCs/>
    </w:rPr>
  </w:style>
  <w:style w:type="paragraph" w:styleId="Normlnweb">
    <w:name w:val="Normal (Web)"/>
    <w:basedOn w:val="Normln"/>
    <w:uiPriority w:val="99"/>
    <w:unhideWhenUsed/>
    <w:rsid w:val="00BC672B"/>
    <w:pPr>
      <w:spacing w:before="120" w:after="120" w:line="300" w:lineRule="atLeast"/>
      <w:jc w:val="left"/>
    </w:pPr>
  </w:style>
  <w:style w:type="paragraph" w:styleId="Revize">
    <w:name w:val="Revision"/>
    <w:hidden/>
    <w:uiPriority w:val="99"/>
    <w:semiHidden/>
    <w:rsid w:val="00DA0B00"/>
    <w:rPr>
      <w:sz w:val="24"/>
      <w:szCs w:val="24"/>
    </w:rPr>
  </w:style>
  <w:style w:type="table" w:styleId="Mkatabulky">
    <w:name w:val="Table Grid"/>
    <w:basedOn w:val="Normlntabulka"/>
    <w:uiPriority w:val="59"/>
    <w:rsid w:val="00BC76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50967">
      <w:bodyDiv w:val="1"/>
      <w:marLeft w:val="0"/>
      <w:marRight w:val="0"/>
      <w:marTop w:val="0"/>
      <w:marBottom w:val="0"/>
      <w:divBdr>
        <w:top w:val="none" w:sz="0" w:space="0" w:color="auto"/>
        <w:left w:val="none" w:sz="0" w:space="0" w:color="auto"/>
        <w:bottom w:val="none" w:sz="0" w:space="0" w:color="auto"/>
        <w:right w:val="none" w:sz="0" w:space="0" w:color="auto"/>
      </w:divBdr>
    </w:div>
    <w:div w:id="71127772">
      <w:bodyDiv w:val="1"/>
      <w:marLeft w:val="0"/>
      <w:marRight w:val="0"/>
      <w:marTop w:val="0"/>
      <w:marBottom w:val="0"/>
      <w:divBdr>
        <w:top w:val="none" w:sz="0" w:space="0" w:color="auto"/>
        <w:left w:val="none" w:sz="0" w:space="0" w:color="auto"/>
        <w:bottom w:val="none" w:sz="0" w:space="0" w:color="auto"/>
        <w:right w:val="none" w:sz="0" w:space="0" w:color="auto"/>
      </w:divBdr>
    </w:div>
    <w:div w:id="83887044">
      <w:bodyDiv w:val="1"/>
      <w:marLeft w:val="0"/>
      <w:marRight w:val="0"/>
      <w:marTop w:val="0"/>
      <w:marBottom w:val="0"/>
      <w:divBdr>
        <w:top w:val="none" w:sz="0" w:space="0" w:color="auto"/>
        <w:left w:val="none" w:sz="0" w:space="0" w:color="auto"/>
        <w:bottom w:val="none" w:sz="0" w:space="0" w:color="auto"/>
        <w:right w:val="none" w:sz="0" w:space="0" w:color="auto"/>
      </w:divBdr>
    </w:div>
    <w:div w:id="87045458">
      <w:bodyDiv w:val="1"/>
      <w:marLeft w:val="0"/>
      <w:marRight w:val="0"/>
      <w:marTop w:val="0"/>
      <w:marBottom w:val="0"/>
      <w:divBdr>
        <w:top w:val="none" w:sz="0" w:space="0" w:color="auto"/>
        <w:left w:val="none" w:sz="0" w:space="0" w:color="auto"/>
        <w:bottom w:val="none" w:sz="0" w:space="0" w:color="auto"/>
        <w:right w:val="none" w:sz="0" w:space="0" w:color="auto"/>
      </w:divBdr>
    </w:div>
    <w:div w:id="90593231">
      <w:bodyDiv w:val="1"/>
      <w:marLeft w:val="0"/>
      <w:marRight w:val="0"/>
      <w:marTop w:val="0"/>
      <w:marBottom w:val="0"/>
      <w:divBdr>
        <w:top w:val="none" w:sz="0" w:space="0" w:color="auto"/>
        <w:left w:val="none" w:sz="0" w:space="0" w:color="auto"/>
        <w:bottom w:val="none" w:sz="0" w:space="0" w:color="auto"/>
        <w:right w:val="none" w:sz="0" w:space="0" w:color="auto"/>
      </w:divBdr>
    </w:div>
    <w:div w:id="137765876">
      <w:bodyDiv w:val="1"/>
      <w:marLeft w:val="0"/>
      <w:marRight w:val="0"/>
      <w:marTop w:val="0"/>
      <w:marBottom w:val="0"/>
      <w:divBdr>
        <w:top w:val="none" w:sz="0" w:space="0" w:color="auto"/>
        <w:left w:val="none" w:sz="0" w:space="0" w:color="auto"/>
        <w:bottom w:val="none" w:sz="0" w:space="0" w:color="auto"/>
        <w:right w:val="none" w:sz="0" w:space="0" w:color="auto"/>
      </w:divBdr>
    </w:div>
    <w:div w:id="166528879">
      <w:bodyDiv w:val="1"/>
      <w:marLeft w:val="0"/>
      <w:marRight w:val="0"/>
      <w:marTop w:val="0"/>
      <w:marBottom w:val="0"/>
      <w:divBdr>
        <w:top w:val="none" w:sz="0" w:space="0" w:color="auto"/>
        <w:left w:val="none" w:sz="0" w:space="0" w:color="auto"/>
        <w:bottom w:val="none" w:sz="0" w:space="0" w:color="auto"/>
        <w:right w:val="none" w:sz="0" w:space="0" w:color="auto"/>
      </w:divBdr>
    </w:div>
    <w:div w:id="179512498">
      <w:bodyDiv w:val="1"/>
      <w:marLeft w:val="0"/>
      <w:marRight w:val="0"/>
      <w:marTop w:val="0"/>
      <w:marBottom w:val="0"/>
      <w:divBdr>
        <w:top w:val="none" w:sz="0" w:space="0" w:color="auto"/>
        <w:left w:val="none" w:sz="0" w:space="0" w:color="auto"/>
        <w:bottom w:val="none" w:sz="0" w:space="0" w:color="auto"/>
        <w:right w:val="none" w:sz="0" w:space="0" w:color="auto"/>
      </w:divBdr>
    </w:div>
    <w:div w:id="184712039">
      <w:bodyDiv w:val="1"/>
      <w:marLeft w:val="0"/>
      <w:marRight w:val="0"/>
      <w:marTop w:val="0"/>
      <w:marBottom w:val="0"/>
      <w:divBdr>
        <w:top w:val="none" w:sz="0" w:space="0" w:color="auto"/>
        <w:left w:val="none" w:sz="0" w:space="0" w:color="auto"/>
        <w:bottom w:val="none" w:sz="0" w:space="0" w:color="auto"/>
        <w:right w:val="none" w:sz="0" w:space="0" w:color="auto"/>
      </w:divBdr>
    </w:div>
    <w:div w:id="194344506">
      <w:bodyDiv w:val="1"/>
      <w:marLeft w:val="0"/>
      <w:marRight w:val="0"/>
      <w:marTop w:val="0"/>
      <w:marBottom w:val="0"/>
      <w:divBdr>
        <w:top w:val="none" w:sz="0" w:space="0" w:color="auto"/>
        <w:left w:val="none" w:sz="0" w:space="0" w:color="auto"/>
        <w:bottom w:val="none" w:sz="0" w:space="0" w:color="auto"/>
        <w:right w:val="none" w:sz="0" w:space="0" w:color="auto"/>
      </w:divBdr>
    </w:div>
    <w:div w:id="200244201">
      <w:bodyDiv w:val="1"/>
      <w:marLeft w:val="0"/>
      <w:marRight w:val="0"/>
      <w:marTop w:val="0"/>
      <w:marBottom w:val="0"/>
      <w:divBdr>
        <w:top w:val="none" w:sz="0" w:space="0" w:color="auto"/>
        <w:left w:val="none" w:sz="0" w:space="0" w:color="auto"/>
        <w:bottom w:val="none" w:sz="0" w:space="0" w:color="auto"/>
        <w:right w:val="none" w:sz="0" w:space="0" w:color="auto"/>
      </w:divBdr>
    </w:div>
    <w:div w:id="226039698">
      <w:bodyDiv w:val="1"/>
      <w:marLeft w:val="0"/>
      <w:marRight w:val="0"/>
      <w:marTop w:val="0"/>
      <w:marBottom w:val="0"/>
      <w:divBdr>
        <w:top w:val="none" w:sz="0" w:space="0" w:color="auto"/>
        <w:left w:val="none" w:sz="0" w:space="0" w:color="auto"/>
        <w:bottom w:val="none" w:sz="0" w:space="0" w:color="auto"/>
        <w:right w:val="none" w:sz="0" w:space="0" w:color="auto"/>
      </w:divBdr>
    </w:div>
    <w:div w:id="238907622">
      <w:bodyDiv w:val="1"/>
      <w:marLeft w:val="0"/>
      <w:marRight w:val="0"/>
      <w:marTop w:val="0"/>
      <w:marBottom w:val="0"/>
      <w:divBdr>
        <w:top w:val="none" w:sz="0" w:space="0" w:color="auto"/>
        <w:left w:val="none" w:sz="0" w:space="0" w:color="auto"/>
        <w:bottom w:val="none" w:sz="0" w:space="0" w:color="auto"/>
        <w:right w:val="none" w:sz="0" w:space="0" w:color="auto"/>
      </w:divBdr>
    </w:div>
    <w:div w:id="262106248">
      <w:bodyDiv w:val="1"/>
      <w:marLeft w:val="0"/>
      <w:marRight w:val="0"/>
      <w:marTop w:val="0"/>
      <w:marBottom w:val="0"/>
      <w:divBdr>
        <w:top w:val="none" w:sz="0" w:space="0" w:color="auto"/>
        <w:left w:val="none" w:sz="0" w:space="0" w:color="auto"/>
        <w:bottom w:val="none" w:sz="0" w:space="0" w:color="auto"/>
        <w:right w:val="none" w:sz="0" w:space="0" w:color="auto"/>
      </w:divBdr>
    </w:div>
    <w:div w:id="269318610">
      <w:bodyDiv w:val="1"/>
      <w:marLeft w:val="0"/>
      <w:marRight w:val="0"/>
      <w:marTop w:val="0"/>
      <w:marBottom w:val="0"/>
      <w:divBdr>
        <w:top w:val="none" w:sz="0" w:space="0" w:color="auto"/>
        <w:left w:val="none" w:sz="0" w:space="0" w:color="auto"/>
        <w:bottom w:val="none" w:sz="0" w:space="0" w:color="auto"/>
        <w:right w:val="none" w:sz="0" w:space="0" w:color="auto"/>
      </w:divBdr>
    </w:div>
    <w:div w:id="313686912">
      <w:bodyDiv w:val="1"/>
      <w:marLeft w:val="0"/>
      <w:marRight w:val="0"/>
      <w:marTop w:val="0"/>
      <w:marBottom w:val="0"/>
      <w:divBdr>
        <w:top w:val="none" w:sz="0" w:space="0" w:color="auto"/>
        <w:left w:val="none" w:sz="0" w:space="0" w:color="auto"/>
        <w:bottom w:val="none" w:sz="0" w:space="0" w:color="auto"/>
        <w:right w:val="none" w:sz="0" w:space="0" w:color="auto"/>
      </w:divBdr>
    </w:div>
    <w:div w:id="318968513">
      <w:bodyDiv w:val="1"/>
      <w:marLeft w:val="0"/>
      <w:marRight w:val="0"/>
      <w:marTop w:val="0"/>
      <w:marBottom w:val="0"/>
      <w:divBdr>
        <w:top w:val="none" w:sz="0" w:space="0" w:color="auto"/>
        <w:left w:val="none" w:sz="0" w:space="0" w:color="auto"/>
        <w:bottom w:val="none" w:sz="0" w:space="0" w:color="auto"/>
        <w:right w:val="none" w:sz="0" w:space="0" w:color="auto"/>
      </w:divBdr>
    </w:div>
    <w:div w:id="332610981">
      <w:bodyDiv w:val="1"/>
      <w:marLeft w:val="0"/>
      <w:marRight w:val="0"/>
      <w:marTop w:val="0"/>
      <w:marBottom w:val="0"/>
      <w:divBdr>
        <w:top w:val="none" w:sz="0" w:space="0" w:color="auto"/>
        <w:left w:val="none" w:sz="0" w:space="0" w:color="auto"/>
        <w:bottom w:val="none" w:sz="0" w:space="0" w:color="auto"/>
        <w:right w:val="none" w:sz="0" w:space="0" w:color="auto"/>
      </w:divBdr>
    </w:div>
    <w:div w:id="333071527">
      <w:bodyDiv w:val="1"/>
      <w:marLeft w:val="0"/>
      <w:marRight w:val="0"/>
      <w:marTop w:val="0"/>
      <w:marBottom w:val="0"/>
      <w:divBdr>
        <w:top w:val="none" w:sz="0" w:space="0" w:color="auto"/>
        <w:left w:val="none" w:sz="0" w:space="0" w:color="auto"/>
        <w:bottom w:val="none" w:sz="0" w:space="0" w:color="auto"/>
        <w:right w:val="none" w:sz="0" w:space="0" w:color="auto"/>
      </w:divBdr>
    </w:div>
    <w:div w:id="339890750">
      <w:bodyDiv w:val="1"/>
      <w:marLeft w:val="0"/>
      <w:marRight w:val="0"/>
      <w:marTop w:val="0"/>
      <w:marBottom w:val="0"/>
      <w:divBdr>
        <w:top w:val="none" w:sz="0" w:space="0" w:color="auto"/>
        <w:left w:val="none" w:sz="0" w:space="0" w:color="auto"/>
        <w:bottom w:val="none" w:sz="0" w:space="0" w:color="auto"/>
        <w:right w:val="none" w:sz="0" w:space="0" w:color="auto"/>
      </w:divBdr>
    </w:div>
    <w:div w:id="353580707">
      <w:bodyDiv w:val="1"/>
      <w:marLeft w:val="0"/>
      <w:marRight w:val="0"/>
      <w:marTop w:val="0"/>
      <w:marBottom w:val="0"/>
      <w:divBdr>
        <w:top w:val="none" w:sz="0" w:space="0" w:color="auto"/>
        <w:left w:val="none" w:sz="0" w:space="0" w:color="auto"/>
        <w:bottom w:val="none" w:sz="0" w:space="0" w:color="auto"/>
        <w:right w:val="none" w:sz="0" w:space="0" w:color="auto"/>
      </w:divBdr>
    </w:div>
    <w:div w:id="378475544">
      <w:bodyDiv w:val="1"/>
      <w:marLeft w:val="0"/>
      <w:marRight w:val="0"/>
      <w:marTop w:val="0"/>
      <w:marBottom w:val="0"/>
      <w:divBdr>
        <w:top w:val="none" w:sz="0" w:space="0" w:color="auto"/>
        <w:left w:val="none" w:sz="0" w:space="0" w:color="auto"/>
        <w:bottom w:val="none" w:sz="0" w:space="0" w:color="auto"/>
        <w:right w:val="none" w:sz="0" w:space="0" w:color="auto"/>
      </w:divBdr>
    </w:div>
    <w:div w:id="398066447">
      <w:bodyDiv w:val="1"/>
      <w:marLeft w:val="0"/>
      <w:marRight w:val="0"/>
      <w:marTop w:val="0"/>
      <w:marBottom w:val="0"/>
      <w:divBdr>
        <w:top w:val="none" w:sz="0" w:space="0" w:color="auto"/>
        <w:left w:val="none" w:sz="0" w:space="0" w:color="auto"/>
        <w:bottom w:val="none" w:sz="0" w:space="0" w:color="auto"/>
        <w:right w:val="none" w:sz="0" w:space="0" w:color="auto"/>
      </w:divBdr>
    </w:div>
    <w:div w:id="398674888">
      <w:bodyDiv w:val="1"/>
      <w:marLeft w:val="0"/>
      <w:marRight w:val="0"/>
      <w:marTop w:val="0"/>
      <w:marBottom w:val="0"/>
      <w:divBdr>
        <w:top w:val="none" w:sz="0" w:space="0" w:color="auto"/>
        <w:left w:val="none" w:sz="0" w:space="0" w:color="auto"/>
        <w:bottom w:val="none" w:sz="0" w:space="0" w:color="auto"/>
        <w:right w:val="none" w:sz="0" w:space="0" w:color="auto"/>
      </w:divBdr>
    </w:div>
    <w:div w:id="443690190">
      <w:bodyDiv w:val="1"/>
      <w:marLeft w:val="0"/>
      <w:marRight w:val="0"/>
      <w:marTop w:val="0"/>
      <w:marBottom w:val="0"/>
      <w:divBdr>
        <w:top w:val="none" w:sz="0" w:space="0" w:color="auto"/>
        <w:left w:val="none" w:sz="0" w:space="0" w:color="auto"/>
        <w:bottom w:val="none" w:sz="0" w:space="0" w:color="auto"/>
        <w:right w:val="none" w:sz="0" w:space="0" w:color="auto"/>
      </w:divBdr>
    </w:div>
    <w:div w:id="461505532">
      <w:bodyDiv w:val="1"/>
      <w:marLeft w:val="0"/>
      <w:marRight w:val="0"/>
      <w:marTop w:val="0"/>
      <w:marBottom w:val="0"/>
      <w:divBdr>
        <w:top w:val="none" w:sz="0" w:space="0" w:color="auto"/>
        <w:left w:val="none" w:sz="0" w:space="0" w:color="auto"/>
        <w:bottom w:val="none" w:sz="0" w:space="0" w:color="auto"/>
        <w:right w:val="none" w:sz="0" w:space="0" w:color="auto"/>
      </w:divBdr>
    </w:div>
    <w:div w:id="470833190">
      <w:bodyDiv w:val="1"/>
      <w:marLeft w:val="0"/>
      <w:marRight w:val="0"/>
      <w:marTop w:val="0"/>
      <w:marBottom w:val="0"/>
      <w:divBdr>
        <w:top w:val="none" w:sz="0" w:space="0" w:color="auto"/>
        <w:left w:val="none" w:sz="0" w:space="0" w:color="auto"/>
        <w:bottom w:val="none" w:sz="0" w:space="0" w:color="auto"/>
        <w:right w:val="none" w:sz="0" w:space="0" w:color="auto"/>
      </w:divBdr>
    </w:div>
    <w:div w:id="482964350">
      <w:bodyDiv w:val="1"/>
      <w:marLeft w:val="0"/>
      <w:marRight w:val="0"/>
      <w:marTop w:val="0"/>
      <w:marBottom w:val="0"/>
      <w:divBdr>
        <w:top w:val="none" w:sz="0" w:space="0" w:color="auto"/>
        <w:left w:val="none" w:sz="0" w:space="0" w:color="auto"/>
        <w:bottom w:val="none" w:sz="0" w:space="0" w:color="auto"/>
        <w:right w:val="none" w:sz="0" w:space="0" w:color="auto"/>
      </w:divBdr>
    </w:div>
    <w:div w:id="494614825">
      <w:bodyDiv w:val="1"/>
      <w:marLeft w:val="0"/>
      <w:marRight w:val="0"/>
      <w:marTop w:val="0"/>
      <w:marBottom w:val="0"/>
      <w:divBdr>
        <w:top w:val="none" w:sz="0" w:space="0" w:color="auto"/>
        <w:left w:val="none" w:sz="0" w:space="0" w:color="auto"/>
        <w:bottom w:val="none" w:sz="0" w:space="0" w:color="auto"/>
        <w:right w:val="none" w:sz="0" w:space="0" w:color="auto"/>
      </w:divBdr>
    </w:div>
    <w:div w:id="502866074">
      <w:bodyDiv w:val="1"/>
      <w:marLeft w:val="0"/>
      <w:marRight w:val="0"/>
      <w:marTop w:val="0"/>
      <w:marBottom w:val="0"/>
      <w:divBdr>
        <w:top w:val="none" w:sz="0" w:space="0" w:color="auto"/>
        <w:left w:val="none" w:sz="0" w:space="0" w:color="auto"/>
        <w:bottom w:val="none" w:sz="0" w:space="0" w:color="auto"/>
        <w:right w:val="none" w:sz="0" w:space="0" w:color="auto"/>
      </w:divBdr>
    </w:div>
    <w:div w:id="534856193">
      <w:bodyDiv w:val="1"/>
      <w:marLeft w:val="0"/>
      <w:marRight w:val="0"/>
      <w:marTop w:val="0"/>
      <w:marBottom w:val="0"/>
      <w:divBdr>
        <w:top w:val="none" w:sz="0" w:space="0" w:color="auto"/>
        <w:left w:val="none" w:sz="0" w:space="0" w:color="auto"/>
        <w:bottom w:val="none" w:sz="0" w:space="0" w:color="auto"/>
        <w:right w:val="none" w:sz="0" w:space="0" w:color="auto"/>
      </w:divBdr>
    </w:div>
    <w:div w:id="554045130">
      <w:bodyDiv w:val="1"/>
      <w:marLeft w:val="0"/>
      <w:marRight w:val="0"/>
      <w:marTop w:val="0"/>
      <w:marBottom w:val="0"/>
      <w:divBdr>
        <w:top w:val="none" w:sz="0" w:space="0" w:color="auto"/>
        <w:left w:val="none" w:sz="0" w:space="0" w:color="auto"/>
        <w:bottom w:val="none" w:sz="0" w:space="0" w:color="auto"/>
        <w:right w:val="none" w:sz="0" w:space="0" w:color="auto"/>
      </w:divBdr>
    </w:div>
    <w:div w:id="608857942">
      <w:bodyDiv w:val="1"/>
      <w:marLeft w:val="0"/>
      <w:marRight w:val="0"/>
      <w:marTop w:val="0"/>
      <w:marBottom w:val="0"/>
      <w:divBdr>
        <w:top w:val="none" w:sz="0" w:space="0" w:color="auto"/>
        <w:left w:val="none" w:sz="0" w:space="0" w:color="auto"/>
        <w:bottom w:val="none" w:sz="0" w:space="0" w:color="auto"/>
        <w:right w:val="none" w:sz="0" w:space="0" w:color="auto"/>
      </w:divBdr>
    </w:div>
    <w:div w:id="622005317">
      <w:bodyDiv w:val="1"/>
      <w:marLeft w:val="0"/>
      <w:marRight w:val="0"/>
      <w:marTop w:val="0"/>
      <w:marBottom w:val="0"/>
      <w:divBdr>
        <w:top w:val="none" w:sz="0" w:space="0" w:color="auto"/>
        <w:left w:val="none" w:sz="0" w:space="0" w:color="auto"/>
        <w:bottom w:val="none" w:sz="0" w:space="0" w:color="auto"/>
        <w:right w:val="none" w:sz="0" w:space="0" w:color="auto"/>
      </w:divBdr>
    </w:div>
    <w:div w:id="630670853">
      <w:bodyDiv w:val="1"/>
      <w:marLeft w:val="0"/>
      <w:marRight w:val="0"/>
      <w:marTop w:val="0"/>
      <w:marBottom w:val="0"/>
      <w:divBdr>
        <w:top w:val="none" w:sz="0" w:space="0" w:color="auto"/>
        <w:left w:val="none" w:sz="0" w:space="0" w:color="auto"/>
        <w:bottom w:val="none" w:sz="0" w:space="0" w:color="auto"/>
        <w:right w:val="none" w:sz="0" w:space="0" w:color="auto"/>
      </w:divBdr>
    </w:div>
    <w:div w:id="647173126">
      <w:bodyDiv w:val="1"/>
      <w:marLeft w:val="0"/>
      <w:marRight w:val="0"/>
      <w:marTop w:val="0"/>
      <w:marBottom w:val="0"/>
      <w:divBdr>
        <w:top w:val="none" w:sz="0" w:space="0" w:color="auto"/>
        <w:left w:val="none" w:sz="0" w:space="0" w:color="auto"/>
        <w:bottom w:val="none" w:sz="0" w:space="0" w:color="auto"/>
        <w:right w:val="none" w:sz="0" w:space="0" w:color="auto"/>
      </w:divBdr>
    </w:div>
    <w:div w:id="664475412">
      <w:bodyDiv w:val="1"/>
      <w:marLeft w:val="0"/>
      <w:marRight w:val="0"/>
      <w:marTop w:val="0"/>
      <w:marBottom w:val="0"/>
      <w:divBdr>
        <w:top w:val="none" w:sz="0" w:space="0" w:color="auto"/>
        <w:left w:val="none" w:sz="0" w:space="0" w:color="auto"/>
        <w:bottom w:val="none" w:sz="0" w:space="0" w:color="auto"/>
        <w:right w:val="none" w:sz="0" w:space="0" w:color="auto"/>
      </w:divBdr>
    </w:div>
    <w:div w:id="735857348">
      <w:bodyDiv w:val="1"/>
      <w:marLeft w:val="0"/>
      <w:marRight w:val="0"/>
      <w:marTop w:val="0"/>
      <w:marBottom w:val="0"/>
      <w:divBdr>
        <w:top w:val="none" w:sz="0" w:space="0" w:color="auto"/>
        <w:left w:val="none" w:sz="0" w:space="0" w:color="auto"/>
        <w:bottom w:val="none" w:sz="0" w:space="0" w:color="auto"/>
        <w:right w:val="none" w:sz="0" w:space="0" w:color="auto"/>
      </w:divBdr>
    </w:div>
    <w:div w:id="736978241">
      <w:bodyDiv w:val="1"/>
      <w:marLeft w:val="0"/>
      <w:marRight w:val="0"/>
      <w:marTop w:val="0"/>
      <w:marBottom w:val="0"/>
      <w:divBdr>
        <w:top w:val="none" w:sz="0" w:space="0" w:color="auto"/>
        <w:left w:val="none" w:sz="0" w:space="0" w:color="auto"/>
        <w:bottom w:val="none" w:sz="0" w:space="0" w:color="auto"/>
        <w:right w:val="none" w:sz="0" w:space="0" w:color="auto"/>
      </w:divBdr>
    </w:div>
    <w:div w:id="757556383">
      <w:bodyDiv w:val="1"/>
      <w:marLeft w:val="0"/>
      <w:marRight w:val="0"/>
      <w:marTop w:val="0"/>
      <w:marBottom w:val="0"/>
      <w:divBdr>
        <w:top w:val="none" w:sz="0" w:space="0" w:color="auto"/>
        <w:left w:val="none" w:sz="0" w:space="0" w:color="auto"/>
        <w:bottom w:val="none" w:sz="0" w:space="0" w:color="auto"/>
        <w:right w:val="none" w:sz="0" w:space="0" w:color="auto"/>
      </w:divBdr>
    </w:div>
    <w:div w:id="761532858">
      <w:bodyDiv w:val="1"/>
      <w:marLeft w:val="0"/>
      <w:marRight w:val="0"/>
      <w:marTop w:val="0"/>
      <w:marBottom w:val="0"/>
      <w:divBdr>
        <w:top w:val="none" w:sz="0" w:space="0" w:color="auto"/>
        <w:left w:val="none" w:sz="0" w:space="0" w:color="auto"/>
        <w:bottom w:val="none" w:sz="0" w:space="0" w:color="auto"/>
        <w:right w:val="none" w:sz="0" w:space="0" w:color="auto"/>
      </w:divBdr>
    </w:div>
    <w:div w:id="765461374">
      <w:bodyDiv w:val="1"/>
      <w:marLeft w:val="0"/>
      <w:marRight w:val="0"/>
      <w:marTop w:val="0"/>
      <w:marBottom w:val="0"/>
      <w:divBdr>
        <w:top w:val="none" w:sz="0" w:space="0" w:color="auto"/>
        <w:left w:val="none" w:sz="0" w:space="0" w:color="auto"/>
        <w:bottom w:val="none" w:sz="0" w:space="0" w:color="auto"/>
        <w:right w:val="none" w:sz="0" w:space="0" w:color="auto"/>
      </w:divBdr>
    </w:div>
    <w:div w:id="768163121">
      <w:bodyDiv w:val="1"/>
      <w:marLeft w:val="0"/>
      <w:marRight w:val="0"/>
      <w:marTop w:val="0"/>
      <w:marBottom w:val="0"/>
      <w:divBdr>
        <w:top w:val="none" w:sz="0" w:space="0" w:color="auto"/>
        <w:left w:val="none" w:sz="0" w:space="0" w:color="auto"/>
        <w:bottom w:val="none" w:sz="0" w:space="0" w:color="auto"/>
        <w:right w:val="none" w:sz="0" w:space="0" w:color="auto"/>
      </w:divBdr>
    </w:div>
    <w:div w:id="771584082">
      <w:bodyDiv w:val="1"/>
      <w:marLeft w:val="0"/>
      <w:marRight w:val="0"/>
      <w:marTop w:val="0"/>
      <w:marBottom w:val="0"/>
      <w:divBdr>
        <w:top w:val="none" w:sz="0" w:space="0" w:color="auto"/>
        <w:left w:val="none" w:sz="0" w:space="0" w:color="auto"/>
        <w:bottom w:val="none" w:sz="0" w:space="0" w:color="auto"/>
        <w:right w:val="none" w:sz="0" w:space="0" w:color="auto"/>
      </w:divBdr>
    </w:div>
    <w:div w:id="777529836">
      <w:bodyDiv w:val="1"/>
      <w:marLeft w:val="0"/>
      <w:marRight w:val="0"/>
      <w:marTop w:val="0"/>
      <w:marBottom w:val="0"/>
      <w:divBdr>
        <w:top w:val="none" w:sz="0" w:space="0" w:color="auto"/>
        <w:left w:val="none" w:sz="0" w:space="0" w:color="auto"/>
        <w:bottom w:val="none" w:sz="0" w:space="0" w:color="auto"/>
        <w:right w:val="none" w:sz="0" w:space="0" w:color="auto"/>
      </w:divBdr>
    </w:div>
    <w:div w:id="782505293">
      <w:bodyDiv w:val="1"/>
      <w:marLeft w:val="0"/>
      <w:marRight w:val="0"/>
      <w:marTop w:val="0"/>
      <w:marBottom w:val="0"/>
      <w:divBdr>
        <w:top w:val="none" w:sz="0" w:space="0" w:color="auto"/>
        <w:left w:val="none" w:sz="0" w:space="0" w:color="auto"/>
        <w:bottom w:val="none" w:sz="0" w:space="0" w:color="auto"/>
        <w:right w:val="none" w:sz="0" w:space="0" w:color="auto"/>
      </w:divBdr>
    </w:div>
    <w:div w:id="813059214">
      <w:bodyDiv w:val="1"/>
      <w:marLeft w:val="0"/>
      <w:marRight w:val="0"/>
      <w:marTop w:val="0"/>
      <w:marBottom w:val="0"/>
      <w:divBdr>
        <w:top w:val="none" w:sz="0" w:space="0" w:color="auto"/>
        <w:left w:val="none" w:sz="0" w:space="0" w:color="auto"/>
        <w:bottom w:val="none" w:sz="0" w:space="0" w:color="auto"/>
        <w:right w:val="none" w:sz="0" w:space="0" w:color="auto"/>
      </w:divBdr>
    </w:div>
    <w:div w:id="823206114">
      <w:bodyDiv w:val="1"/>
      <w:marLeft w:val="0"/>
      <w:marRight w:val="0"/>
      <w:marTop w:val="0"/>
      <w:marBottom w:val="0"/>
      <w:divBdr>
        <w:top w:val="none" w:sz="0" w:space="0" w:color="auto"/>
        <w:left w:val="none" w:sz="0" w:space="0" w:color="auto"/>
        <w:bottom w:val="none" w:sz="0" w:space="0" w:color="auto"/>
        <w:right w:val="none" w:sz="0" w:space="0" w:color="auto"/>
      </w:divBdr>
    </w:div>
    <w:div w:id="834809549">
      <w:bodyDiv w:val="1"/>
      <w:marLeft w:val="0"/>
      <w:marRight w:val="0"/>
      <w:marTop w:val="0"/>
      <w:marBottom w:val="0"/>
      <w:divBdr>
        <w:top w:val="none" w:sz="0" w:space="0" w:color="auto"/>
        <w:left w:val="none" w:sz="0" w:space="0" w:color="auto"/>
        <w:bottom w:val="none" w:sz="0" w:space="0" w:color="auto"/>
        <w:right w:val="none" w:sz="0" w:space="0" w:color="auto"/>
      </w:divBdr>
    </w:div>
    <w:div w:id="835073195">
      <w:bodyDiv w:val="1"/>
      <w:marLeft w:val="0"/>
      <w:marRight w:val="0"/>
      <w:marTop w:val="0"/>
      <w:marBottom w:val="0"/>
      <w:divBdr>
        <w:top w:val="none" w:sz="0" w:space="0" w:color="auto"/>
        <w:left w:val="none" w:sz="0" w:space="0" w:color="auto"/>
        <w:bottom w:val="none" w:sz="0" w:space="0" w:color="auto"/>
        <w:right w:val="none" w:sz="0" w:space="0" w:color="auto"/>
      </w:divBdr>
    </w:div>
    <w:div w:id="839006048">
      <w:bodyDiv w:val="1"/>
      <w:marLeft w:val="0"/>
      <w:marRight w:val="0"/>
      <w:marTop w:val="0"/>
      <w:marBottom w:val="0"/>
      <w:divBdr>
        <w:top w:val="none" w:sz="0" w:space="0" w:color="auto"/>
        <w:left w:val="none" w:sz="0" w:space="0" w:color="auto"/>
        <w:bottom w:val="none" w:sz="0" w:space="0" w:color="auto"/>
        <w:right w:val="none" w:sz="0" w:space="0" w:color="auto"/>
      </w:divBdr>
    </w:div>
    <w:div w:id="884484810">
      <w:bodyDiv w:val="1"/>
      <w:marLeft w:val="0"/>
      <w:marRight w:val="0"/>
      <w:marTop w:val="0"/>
      <w:marBottom w:val="0"/>
      <w:divBdr>
        <w:top w:val="none" w:sz="0" w:space="0" w:color="auto"/>
        <w:left w:val="none" w:sz="0" w:space="0" w:color="auto"/>
        <w:bottom w:val="none" w:sz="0" w:space="0" w:color="auto"/>
        <w:right w:val="none" w:sz="0" w:space="0" w:color="auto"/>
      </w:divBdr>
    </w:div>
    <w:div w:id="895164379">
      <w:bodyDiv w:val="1"/>
      <w:marLeft w:val="0"/>
      <w:marRight w:val="0"/>
      <w:marTop w:val="0"/>
      <w:marBottom w:val="0"/>
      <w:divBdr>
        <w:top w:val="none" w:sz="0" w:space="0" w:color="auto"/>
        <w:left w:val="none" w:sz="0" w:space="0" w:color="auto"/>
        <w:bottom w:val="none" w:sz="0" w:space="0" w:color="auto"/>
        <w:right w:val="none" w:sz="0" w:space="0" w:color="auto"/>
      </w:divBdr>
    </w:div>
    <w:div w:id="917901431">
      <w:bodyDiv w:val="1"/>
      <w:marLeft w:val="0"/>
      <w:marRight w:val="0"/>
      <w:marTop w:val="0"/>
      <w:marBottom w:val="0"/>
      <w:divBdr>
        <w:top w:val="none" w:sz="0" w:space="0" w:color="auto"/>
        <w:left w:val="none" w:sz="0" w:space="0" w:color="auto"/>
        <w:bottom w:val="none" w:sz="0" w:space="0" w:color="auto"/>
        <w:right w:val="none" w:sz="0" w:space="0" w:color="auto"/>
      </w:divBdr>
    </w:div>
    <w:div w:id="945117392">
      <w:bodyDiv w:val="1"/>
      <w:marLeft w:val="0"/>
      <w:marRight w:val="0"/>
      <w:marTop w:val="0"/>
      <w:marBottom w:val="0"/>
      <w:divBdr>
        <w:top w:val="none" w:sz="0" w:space="0" w:color="auto"/>
        <w:left w:val="none" w:sz="0" w:space="0" w:color="auto"/>
        <w:bottom w:val="none" w:sz="0" w:space="0" w:color="auto"/>
        <w:right w:val="none" w:sz="0" w:space="0" w:color="auto"/>
      </w:divBdr>
    </w:div>
    <w:div w:id="951329464">
      <w:bodyDiv w:val="1"/>
      <w:marLeft w:val="0"/>
      <w:marRight w:val="0"/>
      <w:marTop w:val="0"/>
      <w:marBottom w:val="0"/>
      <w:divBdr>
        <w:top w:val="none" w:sz="0" w:space="0" w:color="auto"/>
        <w:left w:val="none" w:sz="0" w:space="0" w:color="auto"/>
        <w:bottom w:val="none" w:sz="0" w:space="0" w:color="auto"/>
        <w:right w:val="none" w:sz="0" w:space="0" w:color="auto"/>
      </w:divBdr>
    </w:div>
    <w:div w:id="970287370">
      <w:bodyDiv w:val="1"/>
      <w:marLeft w:val="0"/>
      <w:marRight w:val="0"/>
      <w:marTop w:val="0"/>
      <w:marBottom w:val="0"/>
      <w:divBdr>
        <w:top w:val="none" w:sz="0" w:space="0" w:color="auto"/>
        <w:left w:val="none" w:sz="0" w:space="0" w:color="auto"/>
        <w:bottom w:val="none" w:sz="0" w:space="0" w:color="auto"/>
        <w:right w:val="none" w:sz="0" w:space="0" w:color="auto"/>
      </w:divBdr>
    </w:div>
    <w:div w:id="980041794">
      <w:bodyDiv w:val="1"/>
      <w:marLeft w:val="0"/>
      <w:marRight w:val="0"/>
      <w:marTop w:val="0"/>
      <w:marBottom w:val="0"/>
      <w:divBdr>
        <w:top w:val="none" w:sz="0" w:space="0" w:color="auto"/>
        <w:left w:val="none" w:sz="0" w:space="0" w:color="auto"/>
        <w:bottom w:val="none" w:sz="0" w:space="0" w:color="auto"/>
        <w:right w:val="none" w:sz="0" w:space="0" w:color="auto"/>
      </w:divBdr>
    </w:div>
    <w:div w:id="984774226">
      <w:bodyDiv w:val="1"/>
      <w:marLeft w:val="0"/>
      <w:marRight w:val="0"/>
      <w:marTop w:val="0"/>
      <w:marBottom w:val="0"/>
      <w:divBdr>
        <w:top w:val="none" w:sz="0" w:space="0" w:color="auto"/>
        <w:left w:val="none" w:sz="0" w:space="0" w:color="auto"/>
        <w:bottom w:val="none" w:sz="0" w:space="0" w:color="auto"/>
        <w:right w:val="none" w:sz="0" w:space="0" w:color="auto"/>
      </w:divBdr>
    </w:div>
    <w:div w:id="997266521">
      <w:bodyDiv w:val="1"/>
      <w:marLeft w:val="0"/>
      <w:marRight w:val="0"/>
      <w:marTop w:val="0"/>
      <w:marBottom w:val="0"/>
      <w:divBdr>
        <w:top w:val="none" w:sz="0" w:space="0" w:color="auto"/>
        <w:left w:val="none" w:sz="0" w:space="0" w:color="auto"/>
        <w:bottom w:val="none" w:sz="0" w:space="0" w:color="auto"/>
        <w:right w:val="none" w:sz="0" w:space="0" w:color="auto"/>
      </w:divBdr>
    </w:div>
    <w:div w:id="1008873840">
      <w:bodyDiv w:val="1"/>
      <w:marLeft w:val="0"/>
      <w:marRight w:val="0"/>
      <w:marTop w:val="0"/>
      <w:marBottom w:val="0"/>
      <w:divBdr>
        <w:top w:val="none" w:sz="0" w:space="0" w:color="auto"/>
        <w:left w:val="none" w:sz="0" w:space="0" w:color="auto"/>
        <w:bottom w:val="none" w:sz="0" w:space="0" w:color="auto"/>
        <w:right w:val="none" w:sz="0" w:space="0" w:color="auto"/>
      </w:divBdr>
    </w:div>
    <w:div w:id="1010372260">
      <w:bodyDiv w:val="1"/>
      <w:marLeft w:val="0"/>
      <w:marRight w:val="0"/>
      <w:marTop w:val="0"/>
      <w:marBottom w:val="0"/>
      <w:divBdr>
        <w:top w:val="none" w:sz="0" w:space="0" w:color="auto"/>
        <w:left w:val="none" w:sz="0" w:space="0" w:color="auto"/>
        <w:bottom w:val="none" w:sz="0" w:space="0" w:color="auto"/>
        <w:right w:val="none" w:sz="0" w:space="0" w:color="auto"/>
      </w:divBdr>
    </w:div>
    <w:div w:id="1022978936">
      <w:bodyDiv w:val="1"/>
      <w:marLeft w:val="0"/>
      <w:marRight w:val="0"/>
      <w:marTop w:val="0"/>
      <w:marBottom w:val="0"/>
      <w:divBdr>
        <w:top w:val="none" w:sz="0" w:space="0" w:color="auto"/>
        <w:left w:val="none" w:sz="0" w:space="0" w:color="auto"/>
        <w:bottom w:val="none" w:sz="0" w:space="0" w:color="auto"/>
        <w:right w:val="none" w:sz="0" w:space="0" w:color="auto"/>
      </w:divBdr>
    </w:div>
    <w:div w:id="1027482711">
      <w:bodyDiv w:val="1"/>
      <w:marLeft w:val="0"/>
      <w:marRight w:val="0"/>
      <w:marTop w:val="0"/>
      <w:marBottom w:val="0"/>
      <w:divBdr>
        <w:top w:val="none" w:sz="0" w:space="0" w:color="auto"/>
        <w:left w:val="none" w:sz="0" w:space="0" w:color="auto"/>
        <w:bottom w:val="none" w:sz="0" w:space="0" w:color="auto"/>
        <w:right w:val="none" w:sz="0" w:space="0" w:color="auto"/>
      </w:divBdr>
    </w:div>
    <w:div w:id="1041320456">
      <w:bodyDiv w:val="1"/>
      <w:marLeft w:val="0"/>
      <w:marRight w:val="0"/>
      <w:marTop w:val="0"/>
      <w:marBottom w:val="0"/>
      <w:divBdr>
        <w:top w:val="none" w:sz="0" w:space="0" w:color="auto"/>
        <w:left w:val="none" w:sz="0" w:space="0" w:color="auto"/>
        <w:bottom w:val="none" w:sz="0" w:space="0" w:color="auto"/>
        <w:right w:val="none" w:sz="0" w:space="0" w:color="auto"/>
      </w:divBdr>
    </w:div>
    <w:div w:id="1137531135">
      <w:bodyDiv w:val="1"/>
      <w:marLeft w:val="0"/>
      <w:marRight w:val="0"/>
      <w:marTop w:val="0"/>
      <w:marBottom w:val="0"/>
      <w:divBdr>
        <w:top w:val="none" w:sz="0" w:space="0" w:color="auto"/>
        <w:left w:val="none" w:sz="0" w:space="0" w:color="auto"/>
        <w:bottom w:val="none" w:sz="0" w:space="0" w:color="auto"/>
        <w:right w:val="none" w:sz="0" w:space="0" w:color="auto"/>
      </w:divBdr>
    </w:div>
    <w:div w:id="1163811559">
      <w:bodyDiv w:val="1"/>
      <w:marLeft w:val="0"/>
      <w:marRight w:val="0"/>
      <w:marTop w:val="0"/>
      <w:marBottom w:val="0"/>
      <w:divBdr>
        <w:top w:val="none" w:sz="0" w:space="0" w:color="auto"/>
        <w:left w:val="none" w:sz="0" w:space="0" w:color="auto"/>
        <w:bottom w:val="none" w:sz="0" w:space="0" w:color="auto"/>
        <w:right w:val="none" w:sz="0" w:space="0" w:color="auto"/>
      </w:divBdr>
    </w:div>
    <w:div w:id="1172337024">
      <w:bodyDiv w:val="1"/>
      <w:marLeft w:val="0"/>
      <w:marRight w:val="0"/>
      <w:marTop w:val="0"/>
      <w:marBottom w:val="0"/>
      <w:divBdr>
        <w:top w:val="none" w:sz="0" w:space="0" w:color="auto"/>
        <w:left w:val="none" w:sz="0" w:space="0" w:color="auto"/>
        <w:bottom w:val="none" w:sz="0" w:space="0" w:color="auto"/>
        <w:right w:val="none" w:sz="0" w:space="0" w:color="auto"/>
      </w:divBdr>
    </w:div>
    <w:div w:id="1189029560">
      <w:bodyDiv w:val="1"/>
      <w:marLeft w:val="0"/>
      <w:marRight w:val="0"/>
      <w:marTop w:val="0"/>
      <w:marBottom w:val="0"/>
      <w:divBdr>
        <w:top w:val="none" w:sz="0" w:space="0" w:color="auto"/>
        <w:left w:val="none" w:sz="0" w:space="0" w:color="auto"/>
        <w:bottom w:val="none" w:sz="0" w:space="0" w:color="auto"/>
        <w:right w:val="none" w:sz="0" w:space="0" w:color="auto"/>
      </w:divBdr>
    </w:div>
    <w:div w:id="1195462933">
      <w:bodyDiv w:val="1"/>
      <w:marLeft w:val="0"/>
      <w:marRight w:val="0"/>
      <w:marTop w:val="0"/>
      <w:marBottom w:val="0"/>
      <w:divBdr>
        <w:top w:val="none" w:sz="0" w:space="0" w:color="auto"/>
        <w:left w:val="none" w:sz="0" w:space="0" w:color="auto"/>
        <w:bottom w:val="none" w:sz="0" w:space="0" w:color="auto"/>
        <w:right w:val="none" w:sz="0" w:space="0" w:color="auto"/>
      </w:divBdr>
    </w:div>
    <w:div w:id="1226719954">
      <w:bodyDiv w:val="1"/>
      <w:marLeft w:val="0"/>
      <w:marRight w:val="0"/>
      <w:marTop w:val="0"/>
      <w:marBottom w:val="0"/>
      <w:divBdr>
        <w:top w:val="none" w:sz="0" w:space="0" w:color="auto"/>
        <w:left w:val="none" w:sz="0" w:space="0" w:color="auto"/>
        <w:bottom w:val="none" w:sz="0" w:space="0" w:color="auto"/>
        <w:right w:val="none" w:sz="0" w:space="0" w:color="auto"/>
      </w:divBdr>
    </w:div>
    <w:div w:id="1242056493">
      <w:bodyDiv w:val="1"/>
      <w:marLeft w:val="0"/>
      <w:marRight w:val="0"/>
      <w:marTop w:val="0"/>
      <w:marBottom w:val="0"/>
      <w:divBdr>
        <w:top w:val="none" w:sz="0" w:space="0" w:color="auto"/>
        <w:left w:val="none" w:sz="0" w:space="0" w:color="auto"/>
        <w:bottom w:val="none" w:sz="0" w:space="0" w:color="auto"/>
        <w:right w:val="none" w:sz="0" w:space="0" w:color="auto"/>
      </w:divBdr>
    </w:div>
    <w:div w:id="1245527900">
      <w:bodyDiv w:val="1"/>
      <w:marLeft w:val="0"/>
      <w:marRight w:val="0"/>
      <w:marTop w:val="0"/>
      <w:marBottom w:val="0"/>
      <w:divBdr>
        <w:top w:val="none" w:sz="0" w:space="0" w:color="auto"/>
        <w:left w:val="none" w:sz="0" w:space="0" w:color="auto"/>
        <w:bottom w:val="none" w:sz="0" w:space="0" w:color="auto"/>
        <w:right w:val="none" w:sz="0" w:space="0" w:color="auto"/>
      </w:divBdr>
    </w:div>
    <w:div w:id="1251355910">
      <w:bodyDiv w:val="1"/>
      <w:marLeft w:val="0"/>
      <w:marRight w:val="0"/>
      <w:marTop w:val="0"/>
      <w:marBottom w:val="0"/>
      <w:divBdr>
        <w:top w:val="none" w:sz="0" w:space="0" w:color="auto"/>
        <w:left w:val="none" w:sz="0" w:space="0" w:color="auto"/>
        <w:bottom w:val="none" w:sz="0" w:space="0" w:color="auto"/>
        <w:right w:val="none" w:sz="0" w:space="0" w:color="auto"/>
      </w:divBdr>
    </w:div>
    <w:div w:id="1251695182">
      <w:bodyDiv w:val="1"/>
      <w:marLeft w:val="0"/>
      <w:marRight w:val="0"/>
      <w:marTop w:val="0"/>
      <w:marBottom w:val="0"/>
      <w:divBdr>
        <w:top w:val="none" w:sz="0" w:space="0" w:color="auto"/>
        <w:left w:val="none" w:sz="0" w:space="0" w:color="auto"/>
        <w:bottom w:val="none" w:sz="0" w:space="0" w:color="auto"/>
        <w:right w:val="none" w:sz="0" w:space="0" w:color="auto"/>
      </w:divBdr>
    </w:div>
    <w:div w:id="1260142024">
      <w:bodyDiv w:val="1"/>
      <w:marLeft w:val="0"/>
      <w:marRight w:val="0"/>
      <w:marTop w:val="0"/>
      <w:marBottom w:val="0"/>
      <w:divBdr>
        <w:top w:val="none" w:sz="0" w:space="0" w:color="auto"/>
        <w:left w:val="none" w:sz="0" w:space="0" w:color="auto"/>
        <w:bottom w:val="none" w:sz="0" w:space="0" w:color="auto"/>
        <w:right w:val="none" w:sz="0" w:space="0" w:color="auto"/>
      </w:divBdr>
    </w:div>
    <w:div w:id="1263033781">
      <w:bodyDiv w:val="1"/>
      <w:marLeft w:val="0"/>
      <w:marRight w:val="0"/>
      <w:marTop w:val="0"/>
      <w:marBottom w:val="0"/>
      <w:divBdr>
        <w:top w:val="none" w:sz="0" w:space="0" w:color="auto"/>
        <w:left w:val="none" w:sz="0" w:space="0" w:color="auto"/>
        <w:bottom w:val="none" w:sz="0" w:space="0" w:color="auto"/>
        <w:right w:val="none" w:sz="0" w:space="0" w:color="auto"/>
      </w:divBdr>
    </w:div>
    <w:div w:id="1334994981">
      <w:bodyDiv w:val="1"/>
      <w:marLeft w:val="0"/>
      <w:marRight w:val="0"/>
      <w:marTop w:val="0"/>
      <w:marBottom w:val="0"/>
      <w:divBdr>
        <w:top w:val="none" w:sz="0" w:space="0" w:color="auto"/>
        <w:left w:val="none" w:sz="0" w:space="0" w:color="auto"/>
        <w:bottom w:val="none" w:sz="0" w:space="0" w:color="auto"/>
        <w:right w:val="none" w:sz="0" w:space="0" w:color="auto"/>
      </w:divBdr>
    </w:div>
    <w:div w:id="1346593916">
      <w:bodyDiv w:val="1"/>
      <w:marLeft w:val="0"/>
      <w:marRight w:val="0"/>
      <w:marTop w:val="0"/>
      <w:marBottom w:val="0"/>
      <w:divBdr>
        <w:top w:val="none" w:sz="0" w:space="0" w:color="auto"/>
        <w:left w:val="none" w:sz="0" w:space="0" w:color="auto"/>
        <w:bottom w:val="none" w:sz="0" w:space="0" w:color="auto"/>
        <w:right w:val="none" w:sz="0" w:space="0" w:color="auto"/>
      </w:divBdr>
    </w:div>
    <w:div w:id="1359046941">
      <w:bodyDiv w:val="1"/>
      <w:marLeft w:val="0"/>
      <w:marRight w:val="0"/>
      <w:marTop w:val="0"/>
      <w:marBottom w:val="0"/>
      <w:divBdr>
        <w:top w:val="none" w:sz="0" w:space="0" w:color="auto"/>
        <w:left w:val="none" w:sz="0" w:space="0" w:color="auto"/>
        <w:bottom w:val="none" w:sz="0" w:space="0" w:color="auto"/>
        <w:right w:val="none" w:sz="0" w:space="0" w:color="auto"/>
      </w:divBdr>
    </w:div>
    <w:div w:id="1373843163">
      <w:bodyDiv w:val="1"/>
      <w:marLeft w:val="0"/>
      <w:marRight w:val="0"/>
      <w:marTop w:val="0"/>
      <w:marBottom w:val="0"/>
      <w:divBdr>
        <w:top w:val="none" w:sz="0" w:space="0" w:color="auto"/>
        <w:left w:val="none" w:sz="0" w:space="0" w:color="auto"/>
        <w:bottom w:val="none" w:sz="0" w:space="0" w:color="auto"/>
        <w:right w:val="none" w:sz="0" w:space="0" w:color="auto"/>
      </w:divBdr>
    </w:div>
    <w:div w:id="1386373545">
      <w:bodyDiv w:val="1"/>
      <w:marLeft w:val="0"/>
      <w:marRight w:val="0"/>
      <w:marTop w:val="0"/>
      <w:marBottom w:val="0"/>
      <w:divBdr>
        <w:top w:val="none" w:sz="0" w:space="0" w:color="auto"/>
        <w:left w:val="none" w:sz="0" w:space="0" w:color="auto"/>
        <w:bottom w:val="none" w:sz="0" w:space="0" w:color="auto"/>
        <w:right w:val="none" w:sz="0" w:space="0" w:color="auto"/>
      </w:divBdr>
    </w:div>
    <w:div w:id="1433432956">
      <w:bodyDiv w:val="1"/>
      <w:marLeft w:val="0"/>
      <w:marRight w:val="0"/>
      <w:marTop w:val="0"/>
      <w:marBottom w:val="0"/>
      <w:divBdr>
        <w:top w:val="none" w:sz="0" w:space="0" w:color="auto"/>
        <w:left w:val="none" w:sz="0" w:space="0" w:color="auto"/>
        <w:bottom w:val="none" w:sz="0" w:space="0" w:color="auto"/>
        <w:right w:val="none" w:sz="0" w:space="0" w:color="auto"/>
      </w:divBdr>
    </w:div>
    <w:div w:id="1433742408">
      <w:bodyDiv w:val="1"/>
      <w:marLeft w:val="0"/>
      <w:marRight w:val="0"/>
      <w:marTop w:val="0"/>
      <w:marBottom w:val="0"/>
      <w:divBdr>
        <w:top w:val="none" w:sz="0" w:space="0" w:color="auto"/>
        <w:left w:val="none" w:sz="0" w:space="0" w:color="auto"/>
        <w:bottom w:val="none" w:sz="0" w:space="0" w:color="auto"/>
        <w:right w:val="none" w:sz="0" w:space="0" w:color="auto"/>
      </w:divBdr>
    </w:div>
    <w:div w:id="1439374390">
      <w:bodyDiv w:val="1"/>
      <w:marLeft w:val="0"/>
      <w:marRight w:val="0"/>
      <w:marTop w:val="0"/>
      <w:marBottom w:val="0"/>
      <w:divBdr>
        <w:top w:val="none" w:sz="0" w:space="0" w:color="auto"/>
        <w:left w:val="none" w:sz="0" w:space="0" w:color="auto"/>
        <w:bottom w:val="none" w:sz="0" w:space="0" w:color="auto"/>
        <w:right w:val="none" w:sz="0" w:space="0" w:color="auto"/>
      </w:divBdr>
    </w:div>
    <w:div w:id="1485581635">
      <w:bodyDiv w:val="1"/>
      <w:marLeft w:val="0"/>
      <w:marRight w:val="0"/>
      <w:marTop w:val="0"/>
      <w:marBottom w:val="0"/>
      <w:divBdr>
        <w:top w:val="none" w:sz="0" w:space="0" w:color="auto"/>
        <w:left w:val="none" w:sz="0" w:space="0" w:color="auto"/>
        <w:bottom w:val="none" w:sz="0" w:space="0" w:color="auto"/>
        <w:right w:val="none" w:sz="0" w:space="0" w:color="auto"/>
      </w:divBdr>
    </w:div>
    <w:div w:id="1494905258">
      <w:bodyDiv w:val="1"/>
      <w:marLeft w:val="0"/>
      <w:marRight w:val="0"/>
      <w:marTop w:val="0"/>
      <w:marBottom w:val="0"/>
      <w:divBdr>
        <w:top w:val="none" w:sz="0" w:space="0" w:color="auto"/>
        <w:left w:val="none" w:sz="0" w:space="0" w:color="auto"/>
        <w:bottom w:val="none" w:sz="0" w:space="0" w:color="auto"/>
        <w:right w:val="none" w:sz="0" w:space="0" w:color="auto"/>
      </w:divBdr>
    </w:div>
    <w:div w:id="1505824093">
      <w:bodyDiv w:val="1"/>
      <w:marLeft w:val="0"/>
      <w:marRight w:val="0"/>
      <w:marTop w:val="0"/>
      <w:marBottom w:val="0"/>
      <w:divBdr>
        <w:top w:val="none" w:sz="0" w:space="0" w:color="auto"/>
        <w:left w:val="none" w:sz="0" w:space="0" w:color="auto"/>
        <w:bottom w:val="none" w:sz="0" w:space="0" w:color="auto"/>
        <w:right w:val="none" w:sz="0" w:space="0" w:color="auto"/>
      </w:divBdr>
    </w:div>
    <w:div w:id="1523006807">
      <w:bodyDiv w:val="1"/>
      <w:marLeft w:val="0"/>
      <w:marRight w:val="0"/>
      <w:marTop w:val="0"/>
      <w:marBottom w:val="0"/>
      <w:divBdr>
        <w:top w:val="none" w:sz="0" w:space="0" w:color="auto"/>
        <w:left w:val="none" w:sz="0" w:space="0" w:color="auto"/>
        <w:bottom w:val="none" w:sz="0" w:space="0" w:color="auto"/>
        <w:right w:val="none" w:sz="0" w:space="0" w:color="auto"/>
      </w:divBdr>
    </w:div>
    <w:div w:id="1527719824">
      <w:bodyDiv w:val="1"/>
      <w:marLeft w:val="0"/>
      <w:marRight w:val="0"/>
      <w:marTop w:val="0"/>
      <w:marBottom w:val="0"/>
      <w:divBdr>
        <w:top w:val="none" w:sz="0" w:space="0" w:color="auto"/>
        <w:left w:val="none" w:sz="0" w:space="0" w:color="auto"/>
        <w:bottom w:val="none" w:sz="0" w:space="0" w:color="auto"/>
        <w:right w:val="none" w:sz="0" w:space="0" w:color="auto"/>
      </w:divBdr>
    </w:div>
    <w:div w:id="1539588577">
      <w:bodyDiv w:val="1"/>
      <w:marLeft w:val="0"/>
      <w:marRight w:val="0"/>
      <w:marTop w:val="0"/>
      <w:marBottom w:val="0"/>
      <w:divBdr>
        <w:top w:val="none" w:sz="0" w:space="0" w:color="auto"/>
        <w:left w:val="none" w:sz="0" w:space="0" w:color="auto"/>
        <w:bottom w:val="none" w:sz="0" w:space="0" w:color="auto"/>
        <w:right w:val="none" w:sz="0" w:space="0" w:color="auto"/>
      </w:divBdr>
    </w:div>
    <w:div w:id="1542743292">
      <w:bodyDiv w:val="1"/>
      <w:marLeft w:val="0"/>
      <w:marRight w:val="0"/>
      <w:marTop w:val="0"/>
      <w:marBottom w:val="0"/>
      <w:divBdr>
        <w:top w:val="none" w:sz="0" w:space="0" w:color="auto"/>
        <w:left w:val="none" w:sz="0" w:space="0" w:color="auto"/>
        <w:bottom w:val="none" w:sz="0" w:space="0" w:color="auto"/>
        <w:right w:val="none" w:sz="0" w:space="0" w:color="auto"/>
      </w:divBdr>
    </w:div>
    <w:div w:id="1569075949">
      <w:bodyDiv w:val="1"/>
      <w:marLeft w:val="0"/>
      <w:marRight w:val="0"/>
      <w:marTop w:val="0"/>
      <w:marBottom w:val="0"/>
      <w:divBdr>
        <w:top w:val="none" w:sz="0" w:space="0" w:color="auto"/>
        <w:left w:val="none" w:sz="0" w:space="0" w:color="auto"/>
        <w:bottom w:val="none" w:sz="0" w:space="0" w:color="auto"/>
        <w:right w:val="none" w:sz="0" w:space="0" w:color="auto"/>
      </w:divBdr>
    </w:div>
    <w:div w:id="1589459539">
      <w:bodyDiv w:val="1"/>
      <w:marLeft w:val="0"/>
      <w:marRight w:val="0"/>
      <w:marTop w:val="0"/>
      <w:marBottom w:val="0"/>
      <w:divBdr>
        <w:top w:val="none" w:sz="0" w:space="0" w:color="auto"/>
        <w:left w:val="none" w:sz="0" w:space="0" w:color="auto"/>
        <w:bottom w:val="none" w:sz="0" w:space="0" w:color="auto"/>
        <w:right w:val="none" w:sz="0" w:space="0" w:color="auto"/>
      </w:divBdr>
    </w:div>
    <w:div w:id="1594581531">
      <w:bodyDiv w:val="1"/>
      <w:marLeft w:val="0"/>
      <w:marRight w:val="0"/>
      <w:marTop w:val="0"/>
      <w:marBottom w:val="0"/>
      <w:divBdr>
        <w:top w:val="none" w:sz="0" w:space="0" w:color="auto"/>
        <w:left w:val="none" w:sz="0" w:space="0" w:color="auto"/>
        <w:bottom w:val="none" w:sz="0" w:space="0" w:color="auto"/>
        <w:right w:val="none" w:sz="0" w:space="0" w:color="auto"/>
      </w:divBdr>
    </w:div>
    <w:div w:id="1617640804">
      <w:bodyDiv w:val="1"/>
      <w:marLeft w:val="0"/>
      <w:marRight w:val="0"/>
      <w:marTop w:val="0"/>
      <w:marBottom w:val="0"/>
      <w:divBdr>
        <w:top w:val="none" w:sz="0" w:space="0" w:color="auto"/>
        <w:left w:val="none" w:sz="0" w:space="0" w:color="auto"/>
        <w:bottom w:val="none" w:sz="0" w:space="0" w:color="auto"/>
        <w:right w:val="none" w:sz="0" w:space="0" w:color="auto"/>
      </w:divBdr>
    </w:div>
    <w:div w:id="1637562707">
      <w:bodyDiv w:val="1"/>
      <w:marLeft w:val="0"/>
      <w:marRight w:val="0"/>
      <w:marTop w:val="0"/>
      <w:marBottom w:val="0"/>
      <w:divBdr>
        <w:top w:val="none" w:sz="0" w:space="0" w:color="auto"/>
        <w:left w:val="none" w:sz="0" w:space="0" w:color="auto"/>
        <w:bottom w:val="none" w:sz="0" w:space="0" w:color="auto"/>
        <w:right w:val="none" w:sz="0" w:space="0" w:color="auto"/>
      </w:divBdr>
    </w:div>
    <w:div w:id="1641420173">
      <w:bodyDiv w:val="1"/>
      <w:marLeft w:val="0"/>
      <w:marRight w:val="0"/>
      <w:marTop w:val="0"/>
      <w:marBottom w:val="0"/>
      <w:divBdr>
        <w:top w:val="none" w:sz="0" w:space="0" w:color="auto"/>
        <w:left w:val="none" w:sz="0" w:space="0" w:color="auto"/>
        <w:bottom w:val="none" w:sz="0" w:space="0" w:color="auto"/>
        <w:right w:val="none" w:sz="0" w:space="0" w:color="auto"/>
      </w:divBdr>
    </w:div>
    <w:div w:id="1703704219">
      <w:bodyDiv w:val="1"/>
      <w:marLeft w:val="0"/>
      <w:marRight w:val="0"/>
      <w:marTop w:val="0"/>
      <w:marBottom w:val="0"/>
      <w:divBdr>
        <w:top w:val="none" w:sz="0" w:space="0" w:color="auto"/>
        <w:left w:val="none" w:sz="0" w:space="0" w:color="auto"/>
        <w:bottom w:val="none" w:sz="0" w:space="0" w:color="auto"/>
        <w:right w:val="none" w:sz="0" w:space="0" w:color="auto"/>
      </w:divBdr>
    </w:div>
    <w:div w:id="1704281657">
      <w:bodyDiv w:val="1"/>
      <w:marLeft w:val="0"/>
      <w:marRight w:val="0"/>
      <w:marTop w:val="0"/>
      <w:marBottom w:val="0"/>
      <w:divBdr>
        <w:top w:val="none" w:sz="0" w:space="0" w:color="auto"/>
        <w:left w:val="none" w:sz="0" w:space="0" w:color="auto"/>
        <w:bottom w:val="none" w:sz="0" w:space="0" w:color="auto"/>
        <w:right w:val="none" w:sz="0" w:space="0" w:color="auto"/>
      </w:divBdr>
    </w:div>
    <w:div w:id="1711764039">
      <w:bodyDiv w:val="1"/>
      <w:marLeft w:val="0"/>
      <w:marRight w:val="0"/>
      <w:marTop w:val="0"/>
      <w:marBottom w:val="0"/>
      <w:divBdr>
        <w:top w:val="none" w:sz="0" w:space="0" w:color="auto"/>
        <w:left w:val="none" w:sz="0" w:space="0" w:color="auto"/>
        <w:bottom w:val="none" w:sz="0" w:space="0" w:color="auto"/>
        <w:right w:val="none" w:sz="0" w:space="0" w:color="auto"/>
      </w:divBdr>
    </w:div>
    <w:div w:id="1715887876">
      <w:bodyDiv w:val="1"/>
      <w:marLeft w:val="0"/>
      <w:marRight w:val="0"/>
      <w:marTop w:val="0"/>
      <w:marBottom w:val="0"/>
      <w:divBdr>
        <w:top w:val="none" w:sz="0" w:space="0" w:color="auto"/>
        <w:left w:val="none" w:sz="0" w:space="0" w:color="auto"/>
        <w:bottom w:val="none" w:sz="0" w:space="0" w:color="auto"/>
        <w:right w:val="none" w:sz="0" w:space="0" w:color="auto"/>
      </w:divBdr>
    </w:div>
    <w:div w:id="1717385398">
      <w:bodyDiv w:val="1"/>
      <w:marLeft w:val="0"/>
      <w:marRight w:val="0"/>
      <w:marTop w:val="0"/>
      <w:marBottom w:val="0"/>
      <w:divBdr>
        <w:top w:val="none" w:sz="0" w:space="0" w:color="auto"/>
        <w:left w:val="none" w:sz="0" w:space="0" w:color="auto"/>
        <w:bottom w:val="none" w:sz="0" w:space="0" w:color="auto"/>
        <w:right w:val="none" w:sz="0" w:space="0" w:color="auto"/>
      </w:divBdr>
    </w:div>
    <w:div w:id="1743328984">
      <w:bodyDiv w:val="1"/>
      <w:marLeft w:val="0"/>
      <w:marRight w:val="0"/>
      <w:marTop w:val="0"/>
      <w:marBottom w:val="0"/>
      <w:divBdr>
        <w:top w:val="none" w:sz="0" w:space="0" w:color="auto"/>
        <w:left w:val="none" w:sz="0" w:space="0" w:color="auto"/>
        <w:bottom w:val="none" w:sz="0" w:space="0" w:color="auto"/>
        <w:right w:val="none" w:sz="0" w:space="0" w:color="auto"/>
      </w:divBdr>
    </w:div>
    <w:div w:id="1760059688">
      <w:bodyDiv w:val="1"/>
      <w:marLeft w:val="0"/>
      <w:marRight w:val="0"/>
      <w:marTop w:val="0"/>
      <w:marBottom w:val="0"/>
      <w:divBdr>
        <w:top w:val="none" w:sz="0" w:space="0" w:color="auto"/>
        <w:left w:val="none" w:sz="0" w:space="0" w:color="auto"/>
        <w:bottom w:val="none" w:sz="0" w:space="0" w:color="auto"/>
        <w:right w:val="none" w:sz="0" w:space="0" w:color="auto"/>
      </w:divBdr>
    </w:div>
    <w:div w:id="1774781743">
      <w:bodyDiv w:val="1"/>
      <w:marLeft w:val="0"/>
      <w:marRight w:val="0"/>
      <w:marTop w:val="0"/>
      <w:marBottom w:val="0"/>
      <w:divBdr>
        <w:top w:val="none" w:sz="0" w:space="0" w:color="auto"/>
        <w:left w:val="none" w:sz="0" w:space="0" w:color="auto"/>
        <w:bottom w:val="none" w:sz="0" w:space="0" w:color="auto"/>
        <w:right w:val="none" w:sz="0" w:space="0" w:color="auto"/>
      </w:divBdr>
    </w:div>
    <w:div w:id="1783567893">
      <w:bodyDiv w:val="1"/>
      <w:marLeft w:val="0"/>
      <w:marRight w:val="0"/>
      <w:marTop w:val="0"/>
      <w:marBottom w:val="0"/>
      <w:divBdr>
        <w:top w:val="none" w:sz="0" w:space="0" w:color="auto"/>
        <w:left w:val="none" w:sz="0" w:space="0" w:color="auto"/>
        <w:bottom w:val="none" w:sz="0" w:space="0" w:color="auto"/>
        <w:right w:val="none" w:sz="0" w:space="0" w:color="auto"/>
      </w:divBdr>
    </w:div>
    <w:div w:id="1801529917">
      <w:bodyDiv w:val="1"/>
      <w:marLeft w:val="0"/>
      <w:marRight w:val="0"/>
      <w:marTop w:val="0"/>
      <w:marBottom w:val="0"/>
      <w:divBdr>
        <w:top w:val="none" w:sz="0" w:space="0" w:color="auto"/>
        <w:left w:val="none" w:sz="0" w:space="0" w:color="auto"/>
        <w:bottom w:val="none" w:sz="0" w:space="0" w:color="auto"/>
        <w:right w:val="none" w:sz="0" w:space="0" w:color="auto"/>
      </w:divBdr>
    </w:div>
    <w:div w:id="1804694208">
      <w:bodyDiv w:val="1"/>
      <w:marLeft w:val="0"/>
      <w:marRight w:val="0"/>
      <w:marTop w:val="0"/>
      <w:marBottom w:val="0"/>
      <w:divBdr>
        <w:top w:val="none" w:sz="0" w:space="0" w:color="auto"/>
        <w:left w:val="none" w:sz="0" w:space="0" w:color="auto"/>
        <w:bottom w:val="none" w:sz="0" w:space="0" w:color="auto"/>
        <w:right w:val="none" w:sz="0" w:space="0" w:color="auto"/>
      </w:divBdr>
    </w:div>
    <w:div w:id="1824346705">
      <w:bodyDiv w:val="1"/>
      <w:marLeft w:val="0"/>
      <w:marRight w:val="0"/>
      <w:marTop w:val="0"/>
      <w:marBottom w:val="0"/>
      <w:divBdr>
        <w:top w:val="none" w:sz="0" w:space="0" w:color="auto"/>
        <w:left w:val="none" w:sz="0" w:space="0" w:color="auto"/>
        <w:bottom w:val="none" w:sz="0" w:space="0" w:color="auto"/>
        <w:right w:val="none" w:sz="0" w:space="0" w:color="auto"/>
      </w:divBdr>
    </w:div>
    <w:div w:id="1825660223">
      <w:bodyDiv w:val="1"/>
      <w:marLeft w:val="0"/>
      <w:marRight w:val="0"/>
      <w:marTop w:val="0"/>
      <w:marBottom w:val="0"/>
      <w:divBdr>
        <w:top w:val="none" w:sz="0" w:space="0" w:color="auto"/>
        <w:left w:val="none" w:sz="0" w:space="0" w:color="auto"/>
        <w:bottom w:val="none" w:sz="0" w:space="0" w:color="auto"/>
        <w:right w:val="none" w:sz="0" w:space="0" w:color="auto"/>
      </w:divBdr>
    </w:div>
    <w:div w:id="1826240782">
      <w:bodyDiv w:val="1"/>
      <w:marLeft w:val="0"/>
      <w:marRight w:val="0"/>
      <w:marTop w:val="0"/>
      <w:marBottom w:val="0"/>
      <w:divBdr>
        <w:top w:val="none" w:sz="0" w:space="0" w:color="auto"/>
        <w:left w:val="none" w:sz="0" w:space="0" w:color="auto"/>
        <w:bottom w:val="none" w:sz="0" w:space="0" w:color="auto"/>
        <w:right w:val="none" w:sz="0" w:space="0" w:color="auto"/>
      </w:divBdr>
    </w:div>
    <w:div w:id="1830243786">
      <w:bodyDiv w:val="1"/>
      <w:marLeft w:val="0"/>
      <w:marRight w:val="0"/>
      <w:marTop w:val="0"/>
      <w:marBottom w:val="0"/>
      <w:divBdr>
        <w:top w:val="none" w:sz="0" w:space="0" w:color="auto"/>
        <w:left w:val="none" w:sz="0" w:space="0" w:color="auto"/>
        <w:bottom w:val="none" w:sz="0" w:space="0" w:color="auto"/>
        <w:right w:val="none" w:sz="0" w:space="0" w:color="auto"/>
      </w:divBdr>
    </w:div>
    <w:div w:id="1852719435">
      <w:bodyDiv w:val="1"/>
      <w:marLeft w:val="0"/>
      <w:marRight w:val="0"/>
      <w:marTop w:val="0"/>
      <w:marBottom w:val="0"/>
      <w:divBdr>
        <w:top w:val="none" w:sz="0" w:space="0" w:color="auto"/>
        <w:left w:val="none" w:sz="0" w:space="0" w:color="auto"/>
        <w:bottom w:val="none" w:sz="0" w:space="0" w:color="auto"/>
        <w:right w:val="none" w:sz="0" w:space="0" w:color="auto"/>
      </w:divBdr>
    </w:div>
    <w:div w:id="1856337110">
      <w:bodyDiv w:val="1"/>
      <w:marLeft w:val="0"/>
      <w:marRight w:val="0"/>
      <w:marTop w:val="0"/>
      <w:marBottom w:val="0"/>
      <w:divBdr>
        <w:top w:val="none" w:sz="0" w:space="0" w:color="auto"/>
        <w:left w:val="none" w:sz="0" w:space="0" w:color="auto"/>
        <w:bottom w:val="none" w:sz="0" w:space="0" w:color="auto"/>
        <w:right w:val="none" w:sz="0" w:space="0" w:color="auto"/>
      </w:divBdr>
    </w:div>
    <w:div w:id="1868105974">
      <w:bodyDiv w:val="1"/>
      <w:marLeft w:val="0"/>
      <w:marRight w:val="0"/>
      <w:marTop w:val="0"/>
      <w:marBottom w:val="0"/>
      <w:divBdr>
        <w:top w:val="none" w:sz="0" w:space="0" w:color="auto"/>
        <w:left w:val="none" w:sz="0" w:space="0" w:color="auto"/>
        <w:bottom w:val="none" w:sz="0" w:space="0" w:color="auto"/>
        <w:right w:val="none" w:sz="0" w:space="0" w:color="auto"/>
      </w:divBdr>
    </w:div>
    <w:div w:id="1875342403">
      <w:bodyDiv w:val="1"/>
      <w:marLeft w:val="0"/>
      <w:marRight w:val="0"/>
      <w:marTop w:val="0"/>
      <w:marBottom w:val="0"/>
      <w:divBdr>
        <w:top w:val="none" w:sz="0" w:space="0" w:color="auto"/>
        <w:left w:val="none" w:sz="0" w:space="0" w:color="auto"/>
        <w:bottom w:val="none" w:sz="0" w:space="0" w:color="auto"/>
        <w:right w:val="none" w:sz="0" w:space="0" w:color="auto"/>
      </w:divBdr>
    </w:div>
    <w:div w:id="1879511804">
      <w:bodyDiv w:val="1"/>
      <w:marLeft w:val="0"/>
      <w:marRight w:val="0"/>
      <w:marTop w:val="0"/>
      <w:marBottom w:val="0"/>
      <w:divBdr>
        <w:top w:val="none" w:sz="0" w:space="0" w:color="auto"/>
        <w:left w:val="none" w:sz="0" w:space="0" w:color="auto"/>
        <w:bottom w:val="none" w:sz="0" w:space="0" w:color="auto"/>
        <w:right w:val="none" w:sz="0" w:space="0" w:color="auto"/>
      </w:divBdr>
    </w:div>
    <w:div w:id="1879927147">
      <w:bodyDiv w:val="1"/>
      <w:marLeft w:val="0"/>
      <w:marRight w:val="0"/>
      <w:marTop w:val="0"/>
      <w:marBottom w:val="0"/>
      <w:divBdr>
        <w:top w:val="none" w:sz="0" w:space="0" w:color="auto"/>
        <w:left w:val="none" w:sz="0" w:space="0" w:color="auto"/>
        <w:bottom w:val="none" w:sz="0" w:space="0" w:color="auto"/>
        <w:right w:val="none" w:sz="0" w:space="0" w:color="auto"/>
      </w:divBdr>
    </w:div>
    <w:div w:id="1919634930">
      <w:bodyDiv w:val="1"/>
      <w:marLeft w:val="0"/>
      <w:marRight w:val="0"/>
      <w:marTop w:val="0"/>
      <w:marBottom w:val="0"/>
      <w:divBdr>
        <w:top w:val="none" w:sz="0" w:space="0" w:color="auto"/>
        <w:left w:val="none" w:sz="0" w:space="0" w:color="auto"/>
        <w:bottom w:val="none" w:sz="0" w:space="0" w:color="auto"/>
        <w:right w:val="none" w:sz="0" w:space="0" w:color="auto"/>
      </w:divBdr>
    </w:div>
    <w:div w:id="1920170498">
      <w:bodyDiv w:val="1"/>
      <w:marLeft w:val="0"/>
      <w:marRight w:val="0"/>
      <w:marTop w:val="0"/>
      <w:marBottom w:val="0"/>
      <w:divBdr>
        <w:top w:val="none" w:sz="0" w:space="0" w:color="auto"/>
        <w:left w:val="none" w:sz="0" w:space="0" w:color="auto"/>
        <w:bottom w:val="none" w:sz="0" w:space="0" w:color="auto"/>
        <w:right w:val="none" w:sz="0" w:space="0" w:color="auto"/>
      </w:divBdr>
    </w:div>
    <w:div w:id="1950505776">
      <w:bodyDiv w:val="1"/>
      <w:marLeft w:val="0"/>
      <w:marRight w:val="0"/>
      <w:marTop w:val="0"/>
      <w:marBottom w:val="0"/>
      <w:divBdr>
        <w:top w:val="none" w:sz="0" w:space="0" w:color="auto"/>
        <w:left w:val="none" w:sz="0" w:space="0" w:color="auto"/>
        <w:bottom w:val="none" w:sz="0" w:space="0" w:color="auto"/>
        <w:right w:val="none" w:sz="0" w:space="0" w:color="auto"/>
      </w:divBdr>
    </w:div>
    <w:div w:id="1968390063">
      <w:bodyDiv w:val="1"/>
      <w:marLeft w:val="0"/>
      <w:marRight w:val="0"/>
      <w:marTop w:val="0"/>
      <w:marBottom w:val="0"/>
      <w:divBdr>
        <w:top w:val="none" w:sz="0" w:space="0" w:color="auto"/>
        <w:left w:val="none" w:sz="0" w:space="0" w:color="auto"/>
        <w:bottom w:val="none" w:sz="0" w:space="0" w:color="auto"/>
        <w:right w:val="none" w:sz="0" w:space="0" w:color="auto"/>
      </w:divBdr>
    </w:div>
    <w:div w:id="1993558739">
      <w:bodyDiv w:val="1"/>
      <w:marLeft w:val="0"/>
      <w:marRight w:val="0"/>
      <w:marTop w:val="0"/>
      <w:marBottom w:val="0"/>
      <w:divBdr>
        <w:top w:val="none" w:sz="0" w:space="0" w:color="auto"/>
        <w:left w:val="none" w:sz="0" w:space="0" w:color="auto"/>
        <w:bottom w:val="none" w:sz="0" w:space="0" w:color="auto"/>
        <w:right w:val="none" w:sz="0" w:space="0" w:color="auto"/>
      </w:divBdr>
    </w:div>
    <w:div w:id="2000188670">
      <w:bodyDiv w:val="1"/>
      <w:marLeft w:val="0"/>
      <w:marRight w:val="0"/>
      <w:marTop w:val="0"/>
      <w:marBottom w:val="0"/>
      <w:divBdr>
        <w:top w:val="none" w:sz="0" w:space="0" w:color="auto"/>
        <w:left w:val="none" w:sz="0" w:space="0" w:color="auto"/>
        <w:bottom w:val="none" w:sz="0" w:space="0" w:color="auto"/>
        <w:right w:val="none" w:sz="0" w:space="0" w:color="auto"/>
      </w:divBdr>
    </w:div>
    <w:div w:id="2022470245">
      <w:bodyDiv w:val="1"/>
      <w:marLeft w:val="0"/>
      <w:marRight w:val="0"/>
      <w:marTop w:val="0"/>
      <w:marBottom w:val="0"/>
      <w:divBdr>
        <w:top w:val="none" w:sz="0" w:space="0" w:color="auto"/>
        <w:left w:val="none" w:sz="0" w:space="0" w:color="auto"/>
        <w:bottom w:val="none" w:sz="0" w:space="0" w:color="auto"/>
        <w:right w:val="none" w:sz="0" w:space="0" w:color="auto"/>
      </w:divBdr>
    </w:div>
    <w:div w:id="2022856052">
      <w:bodyDiv w:val="1"/>
      <w:marLeft w:val="0"/>
      <w:marRight w:val="0"/>
      <w:marTop w:val="0"/>
      <w:marBottom w:val="0"/>
      <w:divBdr>
        <w:top w:val="none" w:sz="0" w:space="0" w:color="auto"/>
        <w:left w:val="none" w:sz="0" w:space="0" w:color="auto"/>
        <w:bottom w:val="none" w:sz="0" w:space="0" w:color="auto"/>
        <w:right w:val="none" w:sz="0" w:space="0" w:color="auto"/>
      </w:divBdr>
    </w:div>
    <w:div w:id="2023359012">
      <w:bodyDiv w:val="1"/>
      <w:marLeft w:val="0"/>
      <w:marRight w:val="0"/>
      <w:marTop w:val="0"/>
      <w:marBottom w:val="0"/>
      <w:divBdr>
        <w:top w:val="none" w:sz="0" w:space="0" w:color="auto"/>
        <w:left w:val="none" w:sz="0" w:space="0" w:color="auto"/>
        <w:bottom w:val="none" w:sz="0" w:space="0" w:color="auto"/>
        <w:right w:val="none" w:sz="0" w:space="0" w:color="auto"/>
      </w:divBdr>
    </w:div>
    <w:div w:id="2059239346">
      <w:bodyDiv w:val="1"/>
      <w:marLeft w:val="0"/>
      <w:marRight w:val="0"/>
      <w:marTop w:val="0"/>
      <w:marBottom w:val="0"/>
      <w:divBdr>
        <w:top w:val="none" w:sz="0" w:space="0" w:color="auto"/>
        <w:left w:val="none" w:sz="0" w:space="0" w:color="auto"/>
        <w:bottom w:val="none" w:sz="0" w:space="0" w:color="auto"/>
        <w:right w:val="none" w:sz="0" w:space="0" w:color="auto"/>
      </w:divBdr>
    </w:div>
    <w:div w:id="2071027852">
      <w:bodyDiv w:val="1"/>
      <w:marLeft w:val="0"/>
      <w:marRight w:val="0"/>
      <w:marTop w:val="0"/>
      <w:marBottom w:val="0"/>
      <w:divBdr>
        <w:top w:val="none" w:sz="0" w:space="0" w:color="auto"/>
        <w:left w:val="none" w:sz="0" w:space="0" w:color="auto"/>
        <w:bottom w:val="none" w:sz="0" w:space="0" w:color="auto"/>
        <w:right w:val="none" w:sz="0" w:space="0" w:color="auto"/>
      </w:divBdr>
    </w:div>
    <w:div w:id="2072338138">
      <w:bodyDiv w:val="1"/>
      <w:marLeft w:val="0"/>
      <w:marRight w:val="0"/>
      <w:marTop w:val="0"/>
      <w:marBottom w:val="0"/>
      <w:divBdr>
        <w:top w:val="none" w:sz="0" w:space="0" w:color="auto"/>
        <w:left w:val="none" w:sz="0" w:space="0" w:color="auto"/>
        <w:bottom w:val="none" w:sz="0" w:space="0" w:color="auto"/>
        <w:right w:val="none" w:sz="0" w:space="0" w:color="auto"/>
      </w:divBdr>
    </w:div>
    <w:div w:id="2074741200">
      <w:bodyDiv w:val="1"/>
      <w:marLeft w:val="0"/>
      <w:marRight w:val="0"/>
      <w:marTop w:val="0"/>
      <w:marBottom w:val="0"/>
      <w:divBdr>
        <w:top w:val="none" w:sz="0" w:space="0" w:color="auto"/>
        <w:left w:val="none" w:sz="0" w:space="0" w:color="auto"/>
        <w:bottom w:val="none" w:sz="0" w:space="0" w:color="auto"/>
        <w:right w:val="none" w:sz="0" w:space="0" w:color="auto"/>
      </w:divBdr>
    </w:div>
    <w:div w:id="2094012312">
      <w:bodyDiv w:val="1"/>
      <w:marLeft w:val="0"/>
      <w:marRight w:val="0"/>
      <w:marTop w:val="0"/>
      <w:marBottom w:val="0"/>
      <w:divBdr>
        <w:top w:val="none" w:sz="0" w:space="0" w:color="auto"/>
        <w:left w:val="none" w:sz="0" w:space="0" w:color="auto"/>
        <w:bottom w:val="none" w:sz="0" w:space="0" w:color="auto"/>
        <w:right w:val="none" w:sz="0" w:space="0" w:color="auto"/>
      </w:divBdr>
    </w:div>
    <w:div w:id="2102070514">
      <w:bodyDiv w:val="1"/>
      <w:marLeft w:val="0"/>
      <w:marRight w:val="0"/>
      <w:marTop w:val="0"/>
      <w:marBottom w:val="0"/>
      <w:divBdr>
        <w:top w:val="none" w:sz="0" w:space="0" w:color="auto"/>
        <w:left w:val="none" w:sz="0" w:space="0" w:color="auto"/>
        <w:bottom w:val="none" w:sz="0" w:space="0" w:color="auto"/>
        <w:right w:val="none" w:sz="0" w:space="0" w:color="auto"/>
      </w:divBdr>
    </w:div>
    <w:div w:id="2109690207">
      <w:bodyDiv w:val="1"/>
      <w:marLeft w:val="0"/>
      <w:marRight w:val="0"/>
      <w:marTop w:val="0"/>
      <w:marBottom w:val="0"/>
      <w:divBdr>
        <w:top w:val="none" w:sz="0" w:space="0" w:color="auto"/>
        <w:left w:val="none" w:sz="0" w:space="0" w:color="auto"/>
        <w:bottom w:val="none" w:sz="0" w:space="0" w:color="auto"/>
        <w:right w:val="none" w:sz="0" w:space="0" w:color="auto"/>
      </w:divBdr>
    </w:div>
    <w:div w:id="21328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16EE6-625D-4920-AA0C-DCCB89DF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8811</Words>
  <Characters>51985</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Plán činnosti SÚRAO na rok 2017, tříletý plán a dlouhodobý plán</vt:lpstr>
    </vt:vector>
  </TitlesOfParts>
  <Company>Microsoft</Company>
  <LinksUpToDate>false</LinksUpToDate>
  <CharactersWithSpaces>60675</CharactersWithSpaces>
  <SharedDoc>false</SharedDoc>
  <HLinks>
    <vt:vector size="180" baseType="variant">
      <vt:variant>
        <vt:i4>1703992</vt:i4>
      </vt:variant>
      <vt:variant>
        <vt:i4>176</vt:i4>
      </vt:variant>
      <vt:variant>
        <vt:i4>0</vt:i4>
      </vt:variant>
      <vt:variant>
        <vt:i4>5</vt:i4>
      </vt:variant>
      <vt:variant>
        <vt:lpwstr/>
      </vt:variant>
      <vt:variant>
        <vt:lpwstr>_Toc453575880</vt:lpwstr>
      </vt:variant>
      <vt:variant>
        <vt:i4>1376312</vt:i4>
      </vt:variant>
      <vt:variant>
        <vt:i4>170</vt:i4>
      </vt:variant>
      <vt:variant>
        <vt:i4>0</vt:i4>
      </vt:variant>
      <vt:variant>
        <vt:i4>5</vt:i4>
      </vt:variant>
      <vt:variant>
        <vt:lpwstr/>
      </vt:variant>
      <vt:variant>
        <vt:lpwstr>_Toc453575879</vt:lpwstr>
      </vt:variant>
      <vt:variant>
        <vt:i4>1376312</vt:i4>
      </vt:variant>
      <vt:variant>
        <vt:i4>164</vt:i4>
      </vt:variant>
      <vt:variant>
        <vt:i4>0</vt:i4>
      </vt:variant>
      <vt:variant>
        <vt:i4>5</vt:i4>
      </vt:variant>
      <vt:variant>
        <vt:lpwstr/>
      </vt:variant>
      <vt:variant>
        <vt:lpwstr>_Toc453575878</vt:lpwstr>
      </vt:variant>
      <vt:variant>
        <vt:i4>1376312</vt:i4>
      </vt:variant>
      <vt:variant>
        <vt:i4>158</vt:i4>
      </vt:variant>
      <vt:variant>
        <vt:i4>0</vt:i4>
      </vt:variant>
      <vt:variant>
        <vt:i4>5</vt:i4>
      </vt:variant>
      <vt:variant>
        <vt:lpwstr/>
      </vt:variant>
      <vt:variant>
        <vt:lpwstr>_Toc453575877</vt:lpwstr>
      </vt:variant>
      <vt:variant>
        <vt:i4>1376312</vt:i4>
      </vt:variant>
      <vt:variant>
        <vt:i4>152</vt:i4>
      </vt:variant>
      <vt:variant>
        <vt:i4>0</vt:i4>
      </vt:variant>
      <vt:variant>
        <vt:i4>5</vt:i4>
      </vt:variant>
      <vt:variant>
        <vt:lpwstr/>
      </vt:variant>
      <vt:variant>
        <vt:lpwstr>_Toc453575876</vt:lpwstr>
      </vt:variant>
      <vt:variant>
        <vt:i4>1376312</vt:i4>
      </vt:variant>
      <vt:variant>
        <vt:i4>146</vt:i4>
      </vt:variant>
      <vt:variant>
        <vt:i4>0</vt:i4>
      </vt:variant>
      <vt:variant>
        <vt:i4>5</vt:i4>
      </vt:variant>
      <vt:variant>
        <vt:lpwstr/>
      </vt:variant>
      <vt:variant>
        <vt:lpwstr>_Toc453575875</vt:lpwstr>
      </vt:variant>
      <vt:variant>
        <vt:i4>1376312</vt:i4>
      </vt:variant>
      <vt:variant>
        <vt:i4>140</vt:i4>
      </vt:variant>
      <vt:variant>
        <vt:i4>0</vt:i4>
      </vt:variant>
      <vt:variant>
        <vt:i4>5</vt:i4>
      </vt:variant>
      <vt:variant>
        <vt:lpwstr/>
      </vt:variant>
      <vt:variant>
        <vt:lpwstr>_Toc453575874</vt:lpwstr>
      </vt:variant>
      <vt:variant>
        <vt:i4>1376312</vt:i4>
      </vt:variant>
      <vt:variant>
        <vt:i4>134</vt:i4>
      </vt:variant>
      <vt:variant>
        <vt:i4>0</vt:i4>
      </vt:variant>
      <vt:variant>
        <vt:i4>5</vt:i4>
      </vt:variant>
      <vt:variant>
        <vt:lpwstr/>
      </vt:variant>
      <vt:variant>
        <vt:lpwstr>_Toc453575873</vt:lpwstr>
      </vt:variant>
      <vt:variant>
        <vt:i4>1376312</vt:i4>
      </vt:variant>
      <vt:variant>
        <vt:i4>128</vt:i4>
      </vt:variant>
      <vt:variant>
        <vt:i4>0</vt:i4>
      </vt:variant>
      <vt:variant>
        <vt:i4>5</vt:i4>
      </vt:variant>
      <vt:variant>
        <vt:lpwstr/>
      </vt:variant>
      <vt:variant>
        <vt:lpwstr>_Toc453575872</vt:lpwstr>
      </vt:variant>
      <vt:variant>
        <vt:i4>1376312</vt:i4>
      </vt:variant>
      <vt:variant>
        <vt:i4>122</vt:i4>
      </vt:variant>
      <vt:variant>
        <vt:i4>0</vt:i4>
      </vt:variant>
      <vt:variant>
        <vt:i4>5</vt:i4>
      </vt:variant>
      <vt:variant>
        <vt:lpwstr/>
      </vt:variant>
      <vt:variant>
        <vt:lpwstr>_Toc453575871</vt:lpwstr>
      </vt:variant>
      <vt:variant>
        <vt:i4>1376312</vt:i4>
      </vt:variant>
      <vt:variant>
        <vt:i4>116</vt:i4>
      </vt:variant>
      <vt:variant>
        <vt:i4>0</vt:i4>
      </vt:variant>
      <vt:variant>
        <vt:i4>5</vt:i4>
      </vt:variant>
      <vt:variant>
        <vt:lpwstr/>
      </vt:variant>
      <vt:variant>
        <vt:lpwstr>_Toc453575870</vt:lpwstr>
      </vt:variant>
      <vt:variant>
        <vt:i4>1310776</vt:i4>
      </vt:variant>
      <vt:variant>
        <vt:i4>110</vt:i4>
      </vt:variant>
      <vt:variant>
        <vt:i4>0</vt:i4>
      </vt:variant>
      <vt:variant>
        <vt:i4>5</vt:i4>
      </vt:variant>
      <vt:variant>
        <vt:lpwstr/>
      </vt:variant>
      <vt:variant>
        <vt:lpwstr>_Toc453575869</vt:lpwstr>
      </vt:variant>
      <vt:variant>
        <vt:i4>1310776</vt:i4>
      </vt:variant>
      <vt:variant>
        <vt:i4>104</vt:i4>
      </vt:variant>
      <vt:variant>
        <vt:i4>0</vt:i4>
      </vt:variant>
      <vt:variant>
        <vt:i4>5</vt:i4>
      </vt:variant>
      <vt:variant>
        <vt:lpwstr/>
      </vt:variant>
      <vt:variant>
        <vt:lpwstr>_Toc453575868</vt:lpwstr>
      </vt:variant>
      <vt:variant>
        <vt:i4>1310776</vt:i4>
      </vt:variant>
      <vt:variant>
        <vt:i4>98</vt:i4>
      </vt:variant>
      <vt:variant>
        <vt:i4>0</vt:i4>
      </vt:variant>
      <vt:variant>
        <vt:i4>5</vt:i4>
      </vt:variant>
      <vt:variant>
        <vt:lpwstr/>
      </vt:variant>
      <vt:variant>
        <vt:lpwstr>_Toc453575867</vt:lpwstr>
      </vt:variant>
      <vt:variant>
        <vt:i4>1310776</vt:i4>
      </vt:variant>
      <vt:variant>
        <vt:i4>92</vt:i4>
      </vt:variant>
      <vt:variant>
        <vt:i4>0</vt:i4>
      </vt:variant>
      <vt:variant>
        <vt:i4>5</vt:i4>
      </vt:variant>
      <vt:variant>
        <vt:lpwstr/>
      </vt:variant>
      <vt:variant>
        <vt:lpwstr>_Toc453575866</vt:lpwstr>
      </vt:variant>
      <vt:variant>
        <vt:i4>1310776</vt:i4>
      </vt:variant>
      <vt:variant>
        <vt:i4>86</vt:i4>
      </vt:variant>
      <vt:variant>
        <vt:i4>0</vt:i4>
      </vt:variant>
      <vt:variant>
        <vt:i4>5</vt:i4>
      </vt:variant>
      <vt:variant>
        <vt:lpwstr/>
      </vt:variant>
      <vt:variant>
        <vt:lpwstr>_Toc453575865</vt:lpwstr>
      </vt:variant>
      <vt:variant>
        <vt:i4>1310776</vt:i4>
      </vt:variant>
      <vt:variant>
        <vt:i4>80</vt:i4>
      </vt:variant>
      <vt:variant>
        <vt:i4>0</vt:i4>
      </vt:variant>
      <vt:variant>
        <vt:i4>5</vt:i4>
      </vt:variant>
      <vt:variant>
        <vt:lpwstr/>
      </vt:variant>
      <vt:variant>
        <vt:lpwstr>_Toc453575864</vt:lpwstr>
      </vt:variant>
      <vt:variant>
        <vt:i4>1310776</vt:i4>
      </vt:variant>
      <vt:variant>
        <vt:i4>74</vt:i4>
      </vt:variant>
      <vt:variant>
        <vt:i4>0</vt:i4>
      </vt:variant>
      <vt:variant>
        <vt:i4>5</vt:i4>
      </vt:variant>
      <vt:variant>
        <vt:lpwstr/>
      </vt:variant>
      <vt:variant>
        <vt:lpwstr>_Toc453575863</vt:lpwstr>
      </vt:variant>
      <vt:variant>
        <vt:i4>1310776</vt:i4>
      </vt:variant>
      <vt:variant>
        <vt:i4>68</vt:i4>
      </vt:variant>
      <vt:variant>
        <vt:i4>0</vt:i4>
      </vt:variant>
      <vt:variant>
        <vt:i4>5</vt:i4>
      </vt:variant>
      <vt:variant>
        <vt:lpwstr/>
      </vt:variant>
      <vt:variant>
        <vt:lpwstr>_Toc453575862</vt:lpwstr>
      </vt:variant>
      <vt:variant>
        <vt:i4>1310776</vt:i4>
      </vt:variant>
      <vt:variant>
        <vt:i4>62</vt:i4>
      </vt:variant>
      <vt:variant>
        <vt:i4>0</vt:i4>
      </vt:variant>
      <vt:variant>
        <vt:i4>5</vt:i4>
      </vt:variant>
      <vt:variant>
        <vt:lpwstr/>
      </vt:variant>
      <vt:variant>
        <vt:lpwstr>_Toc453575861</vt:lpwstr>
      </vt:variant>
      <vt:variant>
        <vt:i4>1310776</vt:i4>
      </vt:variant>
      <vt:variant>
        <vt:i4>56</vt:i4>
      </vt:variant>
      <vt:variant>
        <vt:i4>0</vt:i4>
      </vt:variant>
      <vt:variant>
        <vt:i4>5</vt:i4>
      </vt:variant>
      <vt:variant>
        <vt:lpwstr/>
      </vt:variant>
      <vt:variant>
        <vt:lpwstr>_Toc453575860</vt:lpwstr>
      </vt:variant>
      <vt:variant>
        <vt:i4>1507384</vt:i4>
      </vt:variant>
      <vt:variant>
        <vt:i4>50</vt:i4>
      </vt:variant>
      <vt:variant>
        <vt:i4>0</vt:i4>
      </vt:variant>
      <vt:variant>
        <vt:i4>5</vt:i4>
      </vt:variant>
      <vt:variant>
        <vt:lpwstr/>
      </vt:variant>
      <vt:variant>
        <vt:lpwstr>_Toc453575859</vt:lpwstr>
      </vt:variant>
      <vt:variant>
        <vt:i4>1507384</vt:i4>
      </vt:variant>
      <vt:variant>
        <vt:i4>44</vt:i4>
      </vt:variant>
      <vt:variant>
        <vt:i4>0</vt:i4>
      </vt:variant>
      <vt:variant>
        <vt:i4>5</vt:i4>
      </vt:variant>
      <vt:variant>
        <vt:lpwstr/>
      </vt:variant>
      <vt:variant>
        <vt:lpwstr>_Toc453575858</vt:lpwstr>
      </vt:variant>
      <vt:variant>
        <vt:i4>1507384</vt:i4>
      </vt:variant>
      <vt:variant>
        <vt:i4>38</vt:i4>
      </vt:variant>
      <vt:variant>
        <vt:i4>0</vt:i4>
      </vt:variant>
      <vt:variant>
        <vt:i4>5</vt:i4>
      </vt:variant>
      <vt:variant>
        <vt:lpwstr/>
      </vt:variant>
      <vt:variant>
        <vt:lpwstr>_Toc453575857</vt:lpwstr>
      </vt:variant>
      <vt:variant>
        <vt:i4>1507384</vt:i4>
      </vt:variant>
      <vt:variant>
        <vt:i4>32</vt:i4>
      </vt:variant>
      <vt:variant>
        <vt:i4>0</vt:i4>
      </vt:variant>
      <vt:variant>
        <vt:i4>5</vt:i4>
      </vt:variant>
      <vt:variant>
        <vt:lpwstr/>
      </vt:variant>
      <vt:variant>
        <vt:lpwstr>_Toc453575856</vt:lpwstr>
      </vt:variant>
      <vt:variant>
        <vt:i4>1507384</vt:i4>
      </vt:variant>
      <vt:variant>
        <vt:i4>26</vt:i4>
      </vt:variant>
      <vt:variant>
        <vt:i4>0</vt:i4>
      </vt:variant>
      <vt:variant>
        <vt:i4>5</vt:i4>
      </vt:variant>
      <vt:variant>
        <vt:lpwstr/>
      </vt:variant>
      <vt:variant>
        <vt:lpwstr>_Toc453575855</vt:lpwstr>
      </vt:variant>
      <vt:variant>
        <vt:i4>1507384</vt:i4>
      </vt:variant>
      <vt:variant>
        <vt:i4>20</vt:i4>
      </vt:variant>
      <vt:variant>
        <vt:i4>0</vt:i4>
      </vt:variant>
      <vt:variant>
        <vt:i4>5</vt:i4>
      </vt:variant>
      <vt:variant>
        <vt:lpwstr/>
      </vt:variant>
      <vt:variant>
        <vt:lpwstr>_Toc453575854</vt:lpwstr>
      </vt:variant>
      <vt:variant>
        <vt:i4>1507384</vt:i4>
      </vt:variant>
      <vt:variant>
        <vt:i4>14</vt:i4>
      </vt:variant>
      <vt:variant>
        <vt:i4>0</vt:i4>
      </vt:variant>
      <vt:variant>
        <vt:i4>5</vt:i4>
      </vt:variant>
      <vt:variant>
        <vt:lpwstr/>
      </vt:variant>
      <vt:variant>
        <vt:lpwstr>_Toc453575853</vt:lpwstr>
      </vt:variant>
      <vt:variant>
        <vt:i4>1507384</vt:i4>
      </vt:variant>
      <vt:variant>
        <vt:i4>8</vt:i4>
      </vt:variant>
      <vt:variant>
        <vt:i4>0</vt:i4>
      </vt:variant>
      <vt:variant>
        <vt:i4>5</vt:i4>
      </vt:variant>
      <vt:variant>
        <vt:lpwstr/>
      </vt:variant>
      <vt:variant>
        <vt:lpwstr>_Toc453575852</vt:lpwstr>
      </vt:variant>
      <vt:variant>
        <vt:i4>1507384</vt:i4>
      </vt:variant>
      <vt:variant>
        <vt:i4>2</vt:i4>
      </vt:variant>
      <vt:variant>
        <vt:i4>0</vt:i4>
      </vt:variant>
      <vt:variant>
        <vt:i4>5</vt:i4>
      </vt:variant>
      <vt:variant>
        <vt:lpwstr/>
      </vt:variant>
      <vt:variant>
        <vt:lpwstr>_Toc453575851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činnosti SÚRAO na rok 2017, tříletý plán a dlouhodobý plán</dc:title>
  <dc:subject>06/89</dc:subject>
  <dc:creator>Ing. Vítězslav Duda, MBA</dc:creator>
  <cp:lastModifiedBy>uživatel</cp:lastModifiedBy>
  <cp:revision>3</cp:revision>
  <cp:lastPrinted>2016-08-16T07:20:00Z</cp:lastPrinted>
  <dcterms:created xsi:type="dcterms:W3CDTF">2016-12-20T07:02:00Z</dcterms:created>
  <dcterms:modified xsi:type="dcterms:W3CDTF">2016-12-20T07:02:00Z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ze">
    <vt:lpwstr>1</vt:lpwstr>
  </property>
  <property fmtid="{D5CDD505-2E9C-101B-9397-08002B2CF9AE}" pid="3" name="Vydání">
    <vt:lpwstr>0</vt:lpwstr>
  </property>
</Properties>
</file>